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4542D" w14:textId="027FFE07" w:rsidR="00014C9F" w:rsidRPr="00D02313" w:rsidRDefault="0005768E" w:rsidP="009F3E03">
      <w:pPr>
        <w:pStyle w:val="fcm"/>
        <w:rPr>
          <w:sz w:val="20"/>
          <w:szCs w:val="18"/>
        </w:rPr>
      </w:pPr>
      <w:bookmarkStart w:id="0" w:name="_GoBack"/>
      <w:bookmarkEnd w:id="0"/>
      <w:r w:rsidRPr="00D02313">
        <w:rPr>
          <w:rFonts w:cs="Times New Roman"/>
          <w:sz w:val="20"/>
          <w:szCs w:val="18"/>
        </w:rPr>
        <w:t>Rozsnyai Krisztina</w:t>
      </w:r>
    </w:p>
    <w:p w14:paraId="0ADE2DA7" w14:textId="5FF1A354" w:rsidR="00014C9F" w:rsidRPr="00A97B07" w:rsidRDefault="0005768E" w:rsidP="009F3E03">
      <w:pPr>
        <w:pStyle w:val="fcm"/>
      </w:pPr>
      <w:r>
        <w:t>Közigazgatási bíráskodás</w:t>
      </w:r>
    </w:p>
    <w:p w14:paraId="088A07FC" w14:textId="45774972" w:rsidR="00014C9F" w:rsidRPr="00AF2696" w:rsidRDefault="00014C9F" w:rsidP="009F3E03">
      <w:pPr>
        <w:pStyle w:val="bevezetelemek"/>
      </w:pPr>
      <w:r w:rsidRPr="00760176">
        <w:rPr>
          <w:b/>
        </w:rPr>
        <w:t>Hivatkozás:</w:t>
      </w:r>
      <w:r w:rsidRPr="00A15350">
        <w:t xml:space="preserve"> </w:t>
      </w:r>
      <w:r w:rsidR="00253503">
        <w:rPr>
          <w:smallCaps/>
        </w:rPr>
        <w:t>F. Rozsnyai</w:t>
      </w:r>
      <w:r w:rsidR="00AF2696" w:rsidRPr="00AF2696">
        <w:t xml:space="preserve"> </w:t>
      </w:r>
      <w:r w:rsidR="00253503">
        <w:t>Krisztina</w:t>
      </w:r>
      <w:r w:rsidR="00AF2696" w:rsidRPr="00AF2696">
        <w:t>: „</w:t>
      </w:r>
      <w:r w:rsidR="00253503">
        <w:t>Közigazgatási bíráskodás</w:t>
      </w:r>
      <w:r w:rsidR="00AF2696" w:rsidRPr="00AF2696">
        <w:t xml:space="preserve">” in </w:t>
      </w:r>
      <w:r w:rsidR="00F1003F">
        <w:t>J</w:t>
      </w:r>
      <w:r w:rsidR="00F1003F" w:rsidRPr="00BE2B1D">
        <w:rPr>
          <w:smallCaps/>
        </w:rPr>
        <w:t xml:space="preserve">akab </w:t>
      </w:r>
      <w:r w:rsidR="00F1003F" w:rsidRPr="00BE2B1D">
        <w:t>András</w:t>
      </w:r>
      <w:r w:rsidR="00F1003F" w:rsidRPr="00BE2B1D">
        <w:rPr>
          <w:smallCaps/>
        </w:rPr>
        <w:t xml:space="preserve"> – K</w:t>
      </w:r>
      <w:r w:rsidR="00F1003F">
        <w:rPr>
          <w:smallCaps/>
        </w:rPr>
        <w:t>önczöl</w:t>
      </w:r>
      <w:r w:rsidR="00F1003F" w:rsidRPr="00BE2B1D">
        <w:rPr>
          <w:smallCaps/>
        </w:rPr>
        <w:t xml:space="preserve"> </w:t>
      </w:r>
      <w:r w:rsidR="00F1003F" w:rsidRPr="00BE2B1D">
        <w:t>Miklós</w:t>
      </w:r>
      <w:r w:rsidR="00F1003F" w:rsidRPr="00BE2B1D">
        <w:rPr>
          <w:smallCaps/>
        </w:rPr>
        <w:t xml:space="preserve"> – M</w:t>
      </w:r>
      <w:r w:rsidR="00F1003F">
        <w:rPr>
          <w:smallCaps/>
        </w:rPr>
        <w:t>enyhárd</w:t>
      </w:r>
      <w:r w:rsidR="00F1003F" w:rsidRPr="00BE2B1D">
        <w:rPr>
          <w:smallCaps/>
        </w:rPr>
        <w:t xml:space="preserve"> </w:t>
      </w:r>
      <w:r w:rsidR="00F1003F" w:rsidRPr="00BE2B1D">
        <w:t>Attila</w:t>
      </w:r>
      <w:r w:rsidR="00F1003F" w:rsidRPr="00BE2B1D">
        <w:rPr>
          <w:smallCaps/>
        </w:rPr>
        <w:t xml:space="preserve"> – S</w:t>
      </w:r>
      <w:r w:rsidR="00F1003F">
        <w:rPr>
          <w:smallCaps/>
        </w:rPr>
        <w:t>ulyok</w:t>
      </w:r>
      <w:r w:rsidR="00F1003F" w:rsidRPr="00BE2B1D">
        <w:rPr>
          <w:smallCaps/>
        </w:rPr>
        <w:t xml:space="preserve"> </w:t>
      </w:r>
      <w:r w:rsidR="00F1003F" w:rsidRPr="00BE2B1D">
        <w:t>Gábor</w:t>
      </w:r>
      <w:r w:rsidR="00AF2696" w:rsidRPr="00AF2696">
        <w:t xml:space="preserve"> (szerk.): Internetes Jogtudományi Enciklopédia (</w:t>
      </w:r>
      <w:r w:rsidR="00253503">
        <w:t xml:space="preserve">Közigazgatási </w:t>
      </w:r>
      <w:r w:rsidR="00AF2696" w:rsidRPr="00AF2696">
        <w:t xml:space="preserve">jog rovat, rovatszerkesztő: </w:t>
      </w:r>
      <w:r w:rsidR="00AF2696" w:rsidRPr="00AF2696">
        <w:rPr>
          <w:smallCaps/>
        </w:rPr>
        <w:t>B</w:t>
      </w:r>
      <w:r w:rsidR="00253503">
        <w:rPr>
          <w:smallCaps/>
        </w:rPr>
        <w:t>alázs</w:t>
      </w:r>
      <w:r w:rsidR="00756575" w:rsidRPr="00AF2696">
        <w:rPr>
          <w:smallCaps/>
        </w:rPr>
        <w:t xml:space="preserve"> </w:t>
      </w:r>
      <w:r w:rsidR="00253503">
        <w:t>Istv</w:t>
      </w:r>
      <w:r w:rsidR="00756575">
        <w:t>á</w:t>
      </w:r>
      <w:r w:rsidR="00253503">
        <w:t>n</w:t>
      </w:r>
      <w:r w:rsidR="00AF2696" w:rsidRPr="00AF2696">
        <w:t>) http://ijoten.hu/szocikk/</w:t>
      </w:r>
      <w:r w:rsidR="00253503">
        <w:t>kozigbiraskodas</w:t>
      </w:r>
      <w:r w:rsidR="00AF2696" w:rsidRPr="00AF2696">
        <w:t xml:space="preserve"> (20</w:t>
      </w:r>
      <w:r w:rsidR="00253503">
        <w:t>2</w:t>
      </w:r>
      <w:r w:rsidR="00AF2696" w:rsidRPr="00AF2696">
        <w:t>1)</w:t>
      </w:r>
    </w:p>
    <w:p w14:paraId="3260F762" w14:textId="2470DD3C" w:rsidR="00627EA5" w:rsidRDefault="00E80F6F" w:rsidP="009F3E03">
      <w:pPr>
        <w:pStyle w:val="bevezetelemek"/>
      </w:pPr>
      <w:r w:rsidRPr="00760176">
        <w:rPr>
          <w:b/>
        </w:rPr>
        <w:t>Rovat:</w:t>
      </w:r>
      <w:r w:rsidR="00627EA5" w:rsidRPr="00A15350">
        <w:t xml:space="preserve"> </w:t>
      </w:r>
      <w:r w:rsidR="00253503">
        <w:t xml:space="preserve">Közigazgatási </w:t>
      </w:r>
      <w:r w:rsidR="00627EA5" w:rsidRPr="00A15350">
        <w:t>jog (rovatszerkesztő:</w:t>
      </w:r>
      <w:r w:rsidR="00760176">
        <w:t xml:space="preserve"> </w:t>
      </w:r>
      <w:r w:rsidR="00AF2696" w:rsidRPr="00AF2696">
        <w:t>B</w:t>
      </w:r>
      <w:r w:rsidR="00253503">
        <w:t>alázs István</w:t>
      </w:r>
      <w:r w:rsidR="00760176">
        <w:t>)</w:t>
      </w:r>
    </w:p>
    <w:p w14:paraId="11830039" w14:textId="7A93D42E" w:rsidR="00331D79" w:rsidRDefault="00331D79" w:rsidP="009F3E03">
      <w:pPr>
        <w:pStyle w:val="bevezetelemek"/>
      </w:pPr>
      <w:r>
        <w:rPr>
          <w:b/>
        </w:rPr>
        <w:t>Affiliáció:</w:t>
      </w:r>
      <w:r>
        <w:t xml:space="preserve"> </w:t>
      </w:r>
      <w:r w:rsidR="00253503">
        <w:t>egyetemi tanár</w:t>
      </w:r>
      <w:r>
        <w:t>, ELTE ÁJK</w:t>
      </w:r>
    </w:p>
    <w:p w14:paraId="4FB151B7" w14:textId="0E113D7D" w:rsidR="00401AF0" w:rsidRPr="00A15350" w:rsidRDefault="00401AF0" w:rsidP="009F3E03">
      <w:pPr>
        <w:pStyle w:val="bevezetelemek"/>
      </w:pPr>
      <w:r w:rsidRPr="00A15350">
        <w:rPr>
          <w:b/>
        </w:rPr>
        <w:t>A lezárás dátuma:</w:t>
      </w:r>
      <w:r w:rsidRPr="00A15350">
        <w:t xml:space="preserve"> 20</w:t>
      </w:r>
      <w:r w:rsidR="00253503">
        <w:t>2</w:t>
      </w:r>
      <w:r w:rsidR="007F2B39">
        <w:t>2</w:t>
      </w:r>
      <w:r w:rsidRPr="00A15350">
        <w:t xml:space="preserve">. </w:t>
      </w:r>
      <w:r w:rsidR="002B1D44">
        <w:t>július</w:t>
      </w:r>
      <w:r w:rsidRPr="00A15350">
        <w:t xml:space="preserve"> </w:t>
      </w:r>
      <w:r w:rsidR="00624A94">
        <w:t>1.</w:t>
      </w:r>
    </w:p>
    <w:p w14:paraId="4CFF4437" w14:textId="62D9440A" w:rsidR="00014C9F" w:rsidRDefault="00014C9F" w:rsidP="003F1C0E">
      <w:pPr>
        <w:pStyle w:val="bevezetelemek"/>
        <w:jc w:val="both"/>
      </w:pPr>
      <w:r w:rsidRPr="00F50C06">
        <w:t xml:space="preserve">A </w:t>
      </w:r>
      <w:r w:rsidR="00253503">
        <w:t>közigazgatási bíráskodás a közigazgatás feletti k</w:t>
      </w:r>
      <w:r w:rsidR="00FE2CAF">
        <w:t xml:space="preserve">ülső </w:t>
      </w:r>
      <w:r w:rsidR="000C3DD5">
        <w:t>ellenőrzés</w:t>
      </w:r>
      <w:r w:rsidR="00253503">
        <w:t xml:space="preserve"> egyik legfontosabb formája, amely</w:t>
      </w:r>
      <w:r w:rsidR="004C2006">
        <w:t>nek keretében</w:t>
      </w:r>
      <w:r w:rsidR="00043406" w:rsidRPr="00043406">
        <w:t xml:space="preserve"> </w:t>
      </w:r>
      <w:r w:rsidR="00253503">
        <w:t xml:space="preserve">a független és pártatlan bíróság </w:t>
      </w:r>
      <w:r w:rsidR="002633BE">
        <w:t xml:space="preserve">a </w:t>
      </w:r>
      <w:r w:rsidR="004C2006">
        <w:t>tisztességes</w:t>
      </w:r>
      <w:r w:rsidR="002633BE">
        <w:t xml:space="preserve">ség követelményeinek megfelelő </w:t>
      </w:r>
      <w:r w:rsidR="005817C3">
        <w:t>eljárásban dönt</w:t>
      </w:r>
      <w:r w:rsidR="00043406" w:rsidRPr="00043406">
        <w:t xml:space="preserve"> </w:t>
      </w:r>
      <w:r w:rsidR="00043406">
        <w:t xml:space="preserve">a közigazgatási </w:t>
      </w:r>
      <w:r w:rsidR="00B57A94">
        <w:t>jogvitákban</w:t>
      </w:r>
      <w:r w:rsidRPr="00F50C06">
        <w:t xml:space="preserve">. </w:t>
      </w:r>
      <w:r>
        <w:t xml:space="preserve">A </w:t>
      </w:r>
      <w:r w:rsidR="00253503">
        <w:t>közigazgatási bíráskodás mind a hatalmi ágak megosztásának elve</w:t>
      </w:r>
      <w:r w:rsidR="00D4350C">
        <w:t xml:space="preserve"> érvényesülésének</w:t>
      </w:r>
      <w:r w:rsidR="00253503">
        <w:t xml:space="preserve">, mind a közigazgatással szembeni jogvédelem </w:t>
      </w:r>
      <w:r w:rsidR="00D4350C">
        <w:t xml:space="preserve">biztosításának kiemelten fontos eszköze. A közigazgatási </w:t>
      </w:r>
      <w:r w:rsidR="00B57A94">
        <w:t>jogvitákat elbíráló bíróság</w:t>
      </w:r>
      <w:r w:rsidR="00D4350C">
        <w:t xml:space="preserve"> formailag beletartozhat az igazságszolgáltatási ágba, de állhat attól elkülönülten is, és biztosítható mind külön közigazgatási bíróságok működtetésével, mind a rendes bíróságokon belül</w:t>
      </w:r>
      <w:r w:rsidR="006D4681">
        <w:t>, esetleg elkülönült</w:t>
      </w:r>
      <w:r w:rsidR="00D4350C">
        <w:t xml:space="preserve"> szervezeti egységekkel. </w:t>
      </w:r>
      <w:r>
        <w:t>Tartalmát alapvetően meghatározz</w:t>
      </w:r>
      <w:r w:rsidR="00D4350C">
        <w:t>a a közigazgatási perjog</w:t>
      </w:r>
      <w:r>
        <w:t>, amely</w:t>
      </w:r>
      <w:r w:rsidR="00D4350C">
        <w:t xml:space="preserve">nek feladata a hézagmentes és időszerű jogvédelem, illetve a tisztességes bírósági </w:t>
      </w:r>
      <w:r>
        <w:t>e</w:t>
      </w:r>
      <w:r w:rsidR="00D4350C">
        <w:t>ljárás biztosítása</w:t>
      </w:r>
      <w:r w:rsidR="004E3856">
        <w:t xml:space="preserve"> a közigazgatási jogviták elbírálására v</w:t>
      </w:r>
      <w:r w:rsidR="00C63257">
        <w:t>onatkozó szabályrendszeren keresztül</w:t>
      </w:r>
      <w:r w:rsidR="00D4350C">
        <w:t xml:space="preserve">. </w:t>
      </w:r>
    </w:p>
    <w:p w14:paraId="51CD215D" w14:textId="7AFF4B62" w:rsidR="00D817C1" w:rsidRDefault="009559DF" w:rsidP="0004330A">
      <w:pPr>
        <w:pStyle w:val="belscm1"/>
      </w:pPr>
      <w:r w:rsidRPr="00A15350">
        <w:t>Tartalomjegyzék</w:t>
      </w:r>
    </w:p>
    <w:p w14:paraId="7B2FC916" w14:textId="7D87000F" w:rsidR="00D817C1" w:rsidRPr="00AF2616" w:rsidRDefault="00D817C1" w:rsidP="00D817C1">
      <w:pPr>
        <w:pStyle w:val="fszveg"/>
      </w:pPr>
      <w:r w:rsidRPr="00A15350">
        <w:t xml:space="preserve">[1] </w:t>
      </w:r>
      <w:r w:rsidRPr="00AF2616">
        <w:t xml:space="preserve">A jogállamban a közigazgatás jogszerűségének legfontosabb garanciája az, hogy kifelé irányuló tevékenységének törvényességét a bíróságok vizsgálhatják. Ez </w:t>
      </w:r>
      <w:r w:rsidR="00964D81">
        <w:t>a hatalommegosztás működéséhez, és a jogorvoslathoz való jog (pontosabban a bírósághoz fordulás jog</w:t>
      </w:r>
      <w:r w:rsidR="00590B02">
        <w:t>ának</w:t>
      </w:r>
      <w:r w:rsidR="00964D81">
        <w:t>) érvényre jutásához is elengedhetetlen. A közigazgatással szembeni bírósági jogvédelem</w:t>
      </w:r>
      <w:r w:rsidR="00964D81" w:rsidRPr="00AF2616">
        <w:t xml:space="preserve"> </w:t>
      </w:r>
      <w:r w:rsidR="00964D81">
        <w:t>keretében</w:t>
      </w:r>
      <w:r w:rsidRPr="00AF2616">
        <w:t xml:space="preserve"> az arra jogosult kérelmére a bíróság megvizsgálja a közigazgatás </w:t>
      </w:r>
      <w:r w:rsidR="00964D81">
        <w:t>tevékenységének</w:t>
      </w:r>
      <w:r w:rsidRPr="00AF2616">
        <w:t xml:space="preserve"> törvényességét, és amennyiben törvénysértést állapít meg, annak kiküszöbölése iránt intézkedik: </w:t>
      </w:r>
      <w:r w:rsidR="00306563">
        <w:t>megsemmisít</w:t>
      </w:r>
      <w:r w:rsidRPr="00AF2616">
        <w:t>i a közigazgatási döntést, szükség esetén új eljárás lefolytatására kötelezi a közigazgatást, vagy meghatározott feltételekkel meg is változtathatja a közigazgatás</w:t>
      </w:r>
      <w:r w:rsidR="00306563">
        <w:t>i</w:t>
      </w:r>
      <w:r w:rsidRPr="00AF2616">
        <w:t xml:space="preserve"> döntést. </w:t>
      </w:r>
      <w:r w:rsidR="00306563">
        <w:t>A</w:t>
      </w:r>
      <w:r w:rsidRPr="00AF2616">
        <w:t xml:space="preserve">ktív cselekvésre </w:t>
      </w:r>
      <w:r w:rsidR="00964D81">
        <w:t xml:space="preserve">is </w:t>
      </w:r>
      <w:r w:rsidRPr="00AF2616">
        <w:t xml:space="preserve">kötelezheti a közigazgatást, így például eljárások lefolytatására, </w:t>
      </w:r>
      <w:r w:rsidR="00306563" w:rsidRPr="00AF2616">
        <w:t>döntések meghozatalára</w:t>
      </w:r>
      <w:r w:rsidRPr="00AF2616">
        <w:t xml:space="preserve"> vagy közigazgatási szerződésből eredő kötelezettség teljesítésére. </w:t>
      </w:r>
    </w:p>
    <w:p w14:paraId="627F7D89" w14:textId="561937BF" w:rsidR="00F0231E" w:rsidRPr="008A4FA9" w:rsidRDefault="00F0231E" w:rsidP="008A4FA9">
      <w:pPr>
        <w:pStyle w:val="belscm2"/>
      </w:pPr>
      <w:bookmarkStart w:id="1" w:name="_Toc334525978"/>
      <w:bookmarkStart w:id="2" w:name="_Toc334526353"/>
      <w:bookmarkStart w:id="3" w:name="_Toc334279443"/>
      <w:r w:rsidRPr="008A4FA9">
        <w:t>A közigazgatási bíráskodás európai modelljei</w:t>
      </w:r>
    </w:p>
    <w:p w14:paraId="0469A2C0" w14:textId="36DF07BD" w:rsidR="00CE1D55" w:rsidRDefault="00964D81" w:rsidP="007D0FD5">
      <w:pPr>
        <w:pStyle w:val="fszveg"/>
      </w:pPr>
      <w:r>
        <w:t xml:space="preserve">[2] </w:t>
      </w:r>
      <w:r w:rsidR="00FF01ED">
        <w:t xml:space="preserve">A közigazgatási bíráskodás kialakulásának egyik fontos előfeltétele az állam és a bíróságok elválasztása volt. Erre tipikusan a polgári korban került sor a legtöbb államban, így a közigazgatási bíráskodás sokkal rövidebb múltra tekinthet vissza, mint a rendes bíráskodás. </w:t>
      </w:r>
      <w:r w:rsidR="00F0231E" w:rsidRPr="00306563">
        <w:t>A közigazgatási bíráskodás</w:t>
      </w:r>
      <w:r w:rsidR="00306563">
        <w:t>nak</w:t>
      </w:r>
      <w:r w:rsidR="00F0231E" w:rsidRPr="00306563">
        <w:t xml:space="preserve"> történetileg, a </w:t>
      </w:r>
      <w:r w:rsidR="00306563">
        <w:t xml:space="preserve">szervezeti </w:t>
      </w:r>
      <w:r w:rsidR="00F0231E" w:rsidRPr="00306563">
        <w:t>kialakulás szempontjából két</w:t>
      </w:r>
      <w:r w:rsidR="00FF01ED">
        <w:t xml:space="preserve"> alap</w:t>
      </w:r>
      <w:r w:rsidR="00306563">
        <w:t>típusát lehet megkülönböztetni:</w:t>
      </w:r>
      <w:r w:rsidR="00F0231E" w:rsidRPr="00306563">
        <w:t xml:space="preserve"> vagy monista, vagy dualista rendszerű.</w:t>
      </w:r>
      <w:bookmarkStart w:id="4" w:name="_Ref105675681"/>
      <w:r w:rsidR="00D53631">
        <w:rPr>
          <w:rStyle w:val="Lbjegyzet-hivatkozs"/>
        </w:rPr>
        <w:footnoteReference w:id="2"/>
      </w:r>
      <w:bookmarkEnd w:id="4"/>
      <w:r w:rsidR="00F0231E" w:rsidRPr="00306563">
        <w:t xml:space="preserve"> Hangsúlyozandó, hogy itt a kialakulás mikéntjén van a hangsúly: a monista rendszer esetében a rendes </w:t>
      </w:r>
      <w:r w:rsidR="00F0231E" w:rsidRPr="00306563">
        <w:lastRenderedPageBreak/>
        <w:t>bíróságok</w:t>
      </w:r>
      <w:r w:rsidR="00FF01ED">
        <w:t xml:space="preserve">at hatalmazták fel arra, hogy </w:t>
      </w:r>
      <w:r w:rsidR="00F0231E" w:rsidRPr="00306563">
        <w:t>közigazgatási ügyekben</w:t>
      </w:r>
      <w:r w:rsidR="00FF01ED">
        <w:t xml:space="preserve"> eljárjanak. Sok esetben ez úgy alakult ki, hogy </w:t>
      </w:r>
      <w:r w:rsidR="00F0231E" w:rsidRPr="00306563">
        <w:t xml:space="preserve">az államot </w:t>
      </w:r>
      <w:r w:rsidR="00FF01ED">
        <w:t xml:space="preserve">bizonyos jogvitáknál </w:t>
      </w:r>
      <w:r w:rsidR="00F0231E" w:rsidRPr="00306563">
        <w:t>úgy kezel</w:t>
      </w:r>
      <w:r w:rsidR="00FF01ED">
        <w:t>té</w:t>
      </w:r>
      <w:r w:rsidR="00F0231E" w:rsidRPr="00306563">
        <w:t>k, mint egy magánszemélyt. Ennek legékesebb példája a brit rendszer</w:t>
      </w:r>
      <w:r w:rsidR="00FF01ED">
        <w:t xml:space="preserve"> volt</w:t>
      </w:r>
      <w:r w:rsidR="00F0231E" w:rsidRPr="00306563">
        <w:t>, ahol a közigazgatási jog</w:t>
      </w:r>
      <w:r w:rsidR="00306563">
        <w:t>,</w:t>
      </w:r>
      <w:r w:rsidR="00F0231E" w:rsidRPr="00306563">
        <w:t xml:space="preserve"> mint jogág létét is sokáig tagadták</w:t>
      </w:r>
      <w:r w:rsidR="00FF01ED">
        <w:t>, s a korona sem volt sokáig perelhető</w:t>
      </w:r>
      <w:r w:rsidR="00F0231E" w:rsidRPr="00306563">
        <w:t xml:space="preserve">. </w:t>
      </w:r>
      <w:r w:rsidR="00FF01ED">
        <w:t xml:space="preserve">A monista rendszer ma </w:t>
      </w:r>
      <w:r w:rsidR="00F0231E" w:rsidRPr="00306563">
        <w:t>Európ</w:t>
      </w:r>
      <w:r w:rsidR="00FF01ED">
        <w:t xml:space="preserve">ában például Dániában és Norvégiában létezik, </w:t>
      </w:r>
      <w:r w:rsidR="00267B75">
        <w:t>Európ</w:t>
      </w:r>
      <w:r w:rsidR="00F0231E" w:rsidRPr="00306563">
        <w:t xml:space="preserve">a legtöbb országában </w:t>
      </w:r>
      <w:r w:rsidR="00306563">
        <w:t>inkább</w:t>
      </w:r>
      <w:r w:rsidR="00F0231E" w:rsidRPr="00306563">
        <w:t xml:space="preserve"> a </w:t>
      </w:r>
      <w:r w:rsidR="00306563">
        <w:t xml:space="preserve">dualista </w:t>
      </w:r>
      <w:r w:rsidR="00F0231E" w:rsidRPr="00306563">
        <w:t xml:space="preserve">modell hatása mutatható ki. </w:t>
      </w:r>
      <w:r w:rsidR="00FF01ED">
        <w:t xml:space="preserve">E rendszerben nem a rendes bíróságok ítélkeznek a </w:t>
      </w:r>
      <w:r w:rsidR="0057194A">
        <w:t xml:space="preserve">klasszikus </w:t>
      </w:r>
      <w:r w:rsidR="00FF01ED">
        <w:t xml:space="preserve">közigazgatási jogvitákban. </w:t>
      </w:r>
    </w:p>
    <w:p w14:paraId="266DBD6D" w14:textId="1E49E3A5" w:rsidR="00CE1D55" w:rsidRDefault="00CE1D55" w:rsidP="007D0FD5">
      <w:pPr>
        <w:pStyle w:val="fszveg"/>
      </w:pPr>
      <w:r>
        <w:t xml:space="preserve">[3] </w:t>
      </w:r>
      <w:r w:rsidR="00F0231E" w:rsidRPr="00306563">
        <w:t>A dualista rendszer egyik alaptípusa</w:t>
      </w:r>
      <w:r w:rsidR="00FF01ED" w:rsidRPr="00FF01ED">
        <w:t xml:space="preserve"> </w:t>
      </w:r>
      <w:r w:rsidR="00FF01ED">
        <w:t xml:space="preserve">a </w:t>
      </w:r>
      <w:r w:rsidR="00FF01ED" w:rsidRPr="00306563">
        <w:t>francia modell</w:t>
      </w:r>
      <w:r w:rsidR="00FF01ED">
        <w:t>, amelyben a</w:t>
      </w:r>
      <w:r w:rsidR="00F0231E" w:rsidRPr="00306563">
        <w:t xml:space="preserve"> közigazgatással kapcsolatos minden </w:t>
      </w:r>
      <w:r w:rsidR="00FF01ED">
        <w:t>jogvitában</w:t>
      </w:r>
      <w:r w:rsidR="00F0231E" w:rsidRPr="00306563">
        <w:t xml:space="preserve"> a közigazgatási bíróságok járnak el, </w:t>
      </w:r>
      <w:r w:rsidR="00FF01ED">
        <w:t>amely bíróságok</w:t>
      </w:r>
      <w:r w:rsidR="00F0231E" w:rsidRPr="00306563">
        <w:t xml:space="preserve"> nem képezik az igazságszolgáltatás részét. Alapja ennek az a francia vélekedés, hogy a közigazgatás feletti ítélkezés is közigazgatás</w:t>
      </w:r>
      <w:r w:rsidR="00306563">
        <w:t>i tevékenység</w:t>
      </w:r>
      <w:r w:rsidR="00F0231E" w:rsidRPr="00306563">
        <w:t>n</w:t>
      </w:r>
      <w:r w:rsidR="00306563">
        <w:t>e</w:t>
      </w:r>
      <w:r w:rsidR="00F0231E" w:rsidRPr="00306563">
        <w:t>k számít.</w:t>
      </w:r>
      <w:r w:rsidR="00306563">
        <w:rPr>
          <w:rStyle w:val="Lbjegyzet-hivatkozs"/>
        </w:rPr>
        <w:footnoteReference w:id="3"/>
      </w:r>
      <w:r w:rsidR="00F0231E" w:rsidRPr="00306563">
        <w:t xml:space="preserve"> Ebből a megfontolásból fakad az a sajátos francia megoldás, melyben a közigazgatási bíróságok a közigazgatási rendszer autonóm részei. </w:t>
      </w:r>
      <w:r w:rsidR="00FF01ED">
        <w:t>Az államtanácsi modell esetében eredetileg egyetlen fórum ítélkezett közigazgatási jogvitákban, amely e</w:t>
      </w:r>
      <w:r>
        <w:t xml:space="preserve">redetileg más közigazgatási funkciókat látott első sorban el. </w:t>
      </w:r>
      <w:r w:rsidR="00F0231E" w:rsidRPr="00306563">
        <w:t xml:space="preserve">A </w:t>
      </w:r>
      <w:r>
        <w:t xml:space="preserve">francia </w:t>
      </w:r>
      <w:r w:rsidR="00F0231E" w:rsidRPr="00306563">
        <w:rPr>
          <w:i/>
        </w:rPr>
        <w:t>Conseil d’État,</w:t>
      </w:r>
      <w:r w:rsidR="00F0231E" w:rsidRPr="00306563">
        <w:t xml:space="preserve"> az Államtanács, eredeti bíráskodási jogkörét csak 1872-ben kapta meg, addig csupán a kormány tanácsadó testülete volt. A francia modell alapján jött létre többek között a görög, az olasz, a belga, a holland és a luxemburgi államtanács. A dualista rendszer másik alaptípusa a német modell. Ebben az igazságszolgáltatáson belül, a rendes bírósági ággal egyenrangú bírósági ágként szervezték meg a közigazgatási bíráskodást. Ennek a modellnek több altípusa is van attól függően, hány szinten építik ki a külön közigazgatási bíróságot. Így van olyan ország, ahol csak alsóbb fok(ok)on járnak el közigazgatási bíróságok, van, ahol </w:t>
      </w:r>
      <w:r w:rsidR="00306563">
        <w:t xml:space="preserve">a fórumrendszer </w:t>
      </w:r>
      <w:r>
        <w:t>legfelsőbb</w:t>
      </w:r>
      <w:r w:rsidR="00F0231E" w:rsidRPr="00306563">
        <w:t xml:space="preserve"> szint</w:t>
      </w:r>
      <w:r w:rsidR="00306563">
        <w:t>jé</w:t>
      </w:r>
      <w:r w:rsidR="00F0231E" w:rsidRPr="00306563">
        <w:t xml:space="preserve">n kiépült a </w:t>
      </w:r>
      <w:r w:rsidR="00306563">
        <w:t>kö</w:t>
      </w:r>
      <w:r w:rsidR="00F0231E" w:rsidRPr="00306563">
        <w:t>zigazgatási bír</w:t>
      </w:r>
      <w:r w:rsidR="00306563">
        <w:t>áskodás</w:t>
      </w:r>
      <w:r w:rsidR="00F0231E" w:rsidRPr="00306563">
        <w:t xml:space="preserve">, mint Németországban, ahol három szinten ítélkeznek a közigazgatási bíróságok. </w:t>
      </w:r>
      <w:r w:rsidR="00A92960">
        <w:t>A</w:t>
      </w:r>
      <w:r w:rsidR="00F85EB0">
        <w:t xml:space="preserve">z mindenesetre egyértelmű, hogy egyre több országban találunk </w:t>
      </w:r>
      <w:r w:rsidR="00EA633C">
        <w:t>külön megszervezett közigazgatási bíróságokat.</w:t>
      </w:r>
      <w:r w:rsidR="00EA633C">
        <w:rPr>
          <w:rStyle w:val="Lbjegyzet-hivatkozs"/>
        </w:rPr>
        <w:footnoteReference w:id="4"/>
      </w:r>
    </w:p>
    <w:p w14:paraId="1DC6C1A9" w14:textId="6C312921" w:rsidR="00F0231E" w:rsidRPr="00306563" w:rsidRDefault="00CE1D55" w:rsidP="00CE1D55">
      <w:pPr>
        <w:pStyle w:val="fszveg"/>
      </w:pPr>
      <w:r>
        <w:t xml:space="preserve">[4] </w:t>
      </w:r>
      <w:r w:rsidR="00F0231E" w:rsidRPr="00306563">
        <w:t>Természetesen számos ország van, amely szervezetileg a két rendszer egyikébe sem sorolható be. Ezek a dualista és a monista rendszer közötti képzeletbeli skálán helyezhetők el, ahol a legfontosabb csoportképző tényező</w:t>
      </w:r>
      <w:r w:rsidR="00E92E7C">
        <w:t>k</w:t>
      </w:r>
      <w:r w:rsidR="00F0231E" w:rsidRPr="00306563">
        <w:t xml:space="preserve">nek a </w:t>
      </w:r>
      <w:r w:rsidR="00E92E7C">
        <w:t xml:space="preserve">közigazgatási </w:t>
      </w:r>
      <w:r>
        <w:t>jogvitákban</w:t>
      </w:r>
      <w:r w:rsidR="00E92E7C">
        <w:t xml:space="preserve"> eljáró b</w:t>
      </w:r>
      <w:r w:rsidR="00590B02">
        <w:t>í</w:t>
      </w:r>
      <w:r w:rsidR="00E92E7C">
        <w:t xml:space="preserve">rák valamilyen fokú szervezeti elkülönülése mellett a közigazgatási perjog létét, illetve a </w:t>
      </w:r>
      <w:r w:rsidR="00F0231E" w:rsidRPr="00306563">
        <w:t xml:space="preserve">közigazgatással szembeni másodlagos jogvédelmet, azaz a közigazgatás </w:t>
      </w:r>
      <w:r w:rsidR="00957301">
        <w:t>kár</w:t>
      </w:r>
      <w:r w:rsidR="00F0231E" w:rsidRPr="00306563">
        <w:t>felelősség</w:t>
      </w:r>
      <w:r w:rsidR="00957301">
        <w:t>e</w:t>
      </w:r>
      <w:r w:rsidR="00F0231E" w:rsidRPr="00306563">
        <w:t xml:space="preserve"> érvényesítésének módját tekinthetjük. A szervezeti, hatásköri és eljárásjogi szabályok együttes elemzése alapján jelenleg tulajdonképpen a közigazgatási bíráskodásnak napjainkban négy európai megoldását különíthetjük el</w:t>
      </w:r>
      <w:r>
        <w:t>, amelyek egy skálát képeznek a t</w:t>
      </w:r>
      <w:r w:rsidR="00F0231E" w:rsidRPr="00CE1D55">
        <w:rPr>
          <w:iCs/>
        </w:rPr>
        <w:t>isztán dualista modell</w:t>
      </w:r>
      <w:r w:rsidR="00F0231E" w:rsidRPr="00306563">
        <w:t xml:space="preserve"> </w:t>
      </w:r>
      <w:r>
        <w:t>és a monista modell között.</w:t>
      </w:r>
      <w:r w:rsidR="00F0231E" w:rsidRPr="00306563">
        <w:t xml:space="preserve"> </w:t>
      </w:r>
      <w:r>
        <w:t xml:space="preserve">Tisztán dualistának </w:t>
      </w:r>
      <w:r w:rsidR="00F0231E" w:rsidRPr="00306563">
        <w:t xml:space="preserve">azon országok </w:t>
      </w:r>
      <w:r>
        <w:t>minősíthetőek</w:t>
      </w:r>
      <w:r w:rsidR="00F0231E" w:rsidRPr="00306563">
        <w:t xml:space="preserve">, amelyekben minden közigazgatási </w:t>
      </w:r>
      <w:r>
        <w:t>jog</w:t>
      </w:r>
      <w:r w:rsidR="00F0231E" w:rsidRPr="00306563">
        <w:t xml:space="preserve">vita (így a közigazgatással szembeni kártérítési ügyek is) elkülönült közigazgatási bíróság hatáskörébe tartozik. Ide sorolható Franciaország mellett </w:t>
      </w:r>
      <w:r w:rsidR="00644D40">
        <w:t xml:space="preserve">például </w:t>
      </w:r>
      <w:r w:rsidR="00F0231E" w:rsidRPr="00306563">
        <w:t>Portugália és Görögország.</w:t>
      </w:r>
      <w:r>
        <w:t xml:space="preserve"> A </w:t>
      </w:r>
      <w:r w:rsidRPr="00CE1D55">
        <w:t>„t</w:t>
      </w:r>
      <w:r w:rsidR="00F0231E" w:rsidRPr="00CE1D55">
        <w:t>ökéletlen” dualista modell</w:t>
      </w:r>
      <w:r w:rsidR="00F0231E" w:rsidRPr="00306563">
        <w:t xml:space="preserve"> ország</w:t>
      </w:r>
      <w:r>
        <w:t>aiban</w:t>
      </w:r>
      <w:r w:rsidR="00F0231E" w:rsidRPr="00306563">
        <w:t xml:space="preserve"> a legtöbb közigazgatási jogvitában az elkülönült közigazgatási bíróságok járnak el, de vannak olyan, tartalmilag a közigazgatási joghoz sorolható ügyek, amelyekben a polgári bíróságok döntenek (leginkább az állam felelősségre vonásával kapcsolatos ügyek). Németország mellett Ausztria, Hollandia, Svédország és Finnország</w:t>
      </w:r>
      <w:r w:rsidR="00644D40">
        <w:t xml:space="preserve"> tartozik például ide</w:t>
      </w:r>
      <w:r w:rsidR="00F0231E" w:rsidRPr="00306563">
        <w:t>.</w:t>
      </w:r>
      <w:r>
        <w:t xml:space="preserve"> A monista modellhez már közelebb helyezkednek el </w:t>
      </w:r>
      <w:r w:rsidR="0054245C">
        <w:t>egyfajta</w:t>
      </w:r>
      <w:r>
        <w:t xml:space="preserve"> f</w:t>
      </w:r>
      <w:r w:rsidR="00F0231E" w:rsidRPr="00CE1D55">
        <w:rPr>
          <w:iCs/>
        </w:rPr>
        <w:t>élig-meddig dualista modell</w:t>
      </w:r>
      <w:r w:rsidR="00263AD9">
        <w:rPr>
          <w:iCs/>
        </w:rPr>
        <w:t>t megvalósító</w:t>
      </w:r>
      <w:r w:rsidRPr="00CE1D55">
        <w:rPr>
          <w:iCs/>
        </w:rPr>
        <w:t xml:space="preserve"> országok,</w:t>
      </w:r>
      <w:r w:rsidR="00F0231E" w:rsidRPr="00306563">
        <w:t xml:space="preserve"> amelyekben a közigazgatással szembeni jogvédelem </w:t>
      </w:r>
      <w:r>
        <w:t>történelmileg ugyan</w:t>
      </w:r>
      <w:r w:rsidR="00F0231E" w:rsidRPr="00306563">
        <w:t xml:space="preserve"> a rendes bíróságok feladata</w:t>
      </w:r>
      <w:r>
        <w:t xml:space="preserve"> volt, m</w:t>
      </w:r>
      <w:r w:rsidR="00F0231E" w:rsidRPr="00306563">
        <w:t xml:space="preserve">ivel azonban a rendes bíróságoknak nem volt arra lehetőségük, hogy </w:t>
      </w:r>
      <w:r>
        <w:t>megsemmisíts</w:t>
      </w:r>
      <w:r w:rsidR="00F0231E" w:rsidRPr="00306563">
        <w:t xml:space="preserve">ék a közigazgatási döntéseket, ezek </w:t>
      </w:r>
      <w:r w:rsidR="00F0231E" w:rsidRPr="00306563">
        <w:lastRenderedPageBreak/>
        <w:t xml:space="preserve">mellett </w:t>
      </w:r>
      <w:r>
        <w:t xml:space="preserve">– elsősorban tribunálok formájában </w:t>
      </w:r>
      <w:r w:rsidR="00644D40">
        <w:t>–</w:t>
      </w:r>
      <w:r>
        <w:t xml:space="preserve"> külön</w:t>
      </w:r>
      <w:r w:rsidR="00F0231E" w:rsidRPr="00306563">
        <w:t xml:space="preserve"> közigazgatási bír</w:t>
      </w:r>
      <w:r>
        <w:t>óságok</w:t>
      </w:r>
      <w:r w:rsidR="00F0231E" w:rsidRPr="00306563">
        <w:t xml:space="preserve"> is </w:t>
      </w:r>
      <w:r>
        <w:t>létrejöttek</w:t>
      </w:r>
      <w:r w:rsidR="00F0231E" w:rsidRPr="00306563">
        <w:t>, amely bizonyos hatásköröket átvett</w:t>
      </w:r>
      <w:r>
        <w:t>ek</w:t>
      </w:r>
      <w:r w:rsidR="00F0231E" w:rsidRPr="00306563">
        <w:t xml:space="preserve"> a rendes bíróságoktól. Ezáltal vegyes rendszer alakult ki, ilyen működik Belgiumban, Luxemburgban</w:t>
      </w:r>
      <w:r>
        <w:t xml:space="preserve"> és Nagy-Britanniában</w:t>
      </w:r>
      <w:r w:rsidR="00F0231E" w:rsidRPr="00306563">
        <w:t>.</w:t>
      </w:r>
      <w:r>
        <w:t xml:space="preserve"> A skála másik végén</w:t>
      </w:r>
      <w:r w:rsidRPr="00CE1D55">
        <w:rPr>
          <w:iCs/>
        </w:rPr>
        <w:t>, a m</w:t>
      </w:r>
      <w:r w:rsidR="00F0231E" w:rsidRPr="00CE1D55">
        <w:rPr>
          <w:iCs/>
        </w:rPr>
        <w:t xml:space="preserve">onista </w:t>
      </w:r>
      <w:r w:rsidR="00F0231E" w:rsidRPr="00306563">
        <w:t xml:space="preserve">modellben </w:t>
      </w:r>
      <w:r w:rsidR="00FD7732">
        <w:t>jelen</w:t>
      </w:r>
      <w:r w:rsidR="00F0231E" w:rsidRPr="00306563">
        <w:t xml:space="preserve">leg </w:t>
      </w:r>
      <w:r w:rsidR="00FD7732">
        <w:t xml:space="preserve">is </w:t>
      </w:r>
      <w:r w:rsidR="00F0231E" w:rsidRPr="00306563">
        <w:t>a rendes bíróságok döntenek minden jogvitában, nincsen külön közigazgatási bíróság. Dániában, Norvégiában így épül fel a rendszer.</w:t>
      </w:r>
      <w:r w:rsidR="002250B8">
        <w:rPr>
          <w:rStyle w:val="Lbjegyzet-hivatkozs"/>
        </w:rPr>
        <w:footnoteReference w:id="5"/>
      </w:r>
    </w:p>
    <w:p w14:paraId="7FB5D617" w14:textId="77777777" w:rsidR="006339C6" w:rsidRDefault="00FD7732" w:rsidP="0005768E">
      <w:pPr>
        <w:pStyle w:val="fszveg"/>
      </w:pPr>
      <w:r>
        <w:t xml:space="preserve">[5] </w:t>
      </w:r>
      <w:r w:rsidR="00F0231E" w:rsidRPr="00306563">
        <w:t xml:space="preserve">A választóvonal a dualista és a monista rendszer között tehát mára igen vékony. A jelenlegi reformfolyamatokat értékelve azt láthatjuk, hogy kisebb vagy nagyobb léptekkel a német dualista modell felé halad a legtöbb ország közigazgatási bíráskodása. </w:t>
      </w:r>
      <w:r w:rsidR="00F0231E" w:rsidRPr="006665A5">
        <w:t xml:space="preserve">Azokban az országokban, ahol az elmúlt két évtizedben alakították ki a közigazgatási bíráskodást, </w:t>
      </w:r>
      <w:r>
        <w:t xml:space="preserve">erre többféle </w:t>
      </w:r>
      <w:r w:rsidR="00F0231E" w:rsidRPr="006665A5">
        <w:t>megoldás születe</w:t>
      </w:r>
      <w:r>
        <w:t>tt</w:t>
      </w:r>
      <w:r w:rsidR="00F0231E" w:rsidRPr="006665A5">
        <w:t xml:space="preserve">: </w:t>
      </w:r>
      <w:r w:rsidR="00F0231E">
        <w:t>1. M</w:t>
      </w:r>
      <w:r w:rsidR="00F0231E" w:rsidRPr="006665A5">
        <w:t>inden szinten elkülönülő közigazgatási különbírósági rendszer</w:t>
      </w:r>
      <w:r>
        <w:t>t,</w:t>
      </w:r>
      <w:r w:rsidR="00F0231E">
        <w:t xml:space="preserve"> h</w:t>
      </w:r>
      <w:r w:rsidR="00F0231E" w:rsidRPr="006665A5">
        <w:t xml:space="preserve">áromszintű közigazgatási különbíróságot hoztak létre például 2002-ben Portugáliában vagy 2005-ben Ukrajnában. A német modellt alkalmazták, de </w:t>
      </w:r>
      <w:r w:rsidR="00F0231E">
        <w:t>csak kétszintű rendszer</w:t>
      </w:r>
      <w:r>
        <w:t>ként</w:t>
      </w:r>
      <w:r w:rsidR="00F0231E" w:rsidRPr="006665A5">
        <w:t xml:space="preserve"> –Legfelsőbb Közigazgatási Bíróság és regionális közigazgatási bíróságok – például Bulgáriában, Litvániában, Lengyelországban, Horvátországban. 2. </w:t>
      </w:r>
      <w:r>
        <w:t>Másutt csak az a</w:t>
      </w:r>
      <w:r w:rsidR="00F0231E" w:rsidRPr="006665A5">
        <w:t xml:space="preserve">lsóbb fok(ok)on </w:t>
      </w:r>
      <w:r w:rsidR="00F0231E">
        <w:t>van</w:t>
      </w:r>
      <w:r w:rsidR="00F0231E" w:rsidRPr="006665A5">
        <w:t xml:space="preserve"> különbíróság, a legfelsőbb szint(ek)en pedig a teljes bírósági szervezetrendszerre nézve egységes bírói fórum jár el:</w:t>
      </w:r>
      <w:r w:rsidR="00F0231E">
        <w:t xml:space="preserve"> c</w:t>
      </w:r>
      <w:r w:rsidR="00F0231E" w:rsidRPr="006665A5">
        <w:t>sak első fokon van közigazgatási bíróság Észtországban és Szlovéniában. Két fokon működnek közigazgatási különbíróságok Spanyolországban és Lettországban</w:t>
      </w:r>
      <w:r>
        <w:t>, legfelsőbb szinten pedig egyetlen legfelsőbb bíróság ítélkezik</w:t>
      </w:r>
      <w:r w:rsidR="00F0231E" w:rsidRPr="006665A5">
        <w:t>. 3. Csak Legfelsőbb Közigazgatási Bíróság működik Csehország</w:t>
      </w:r>
      <w:r w:rsidR="00F0231E">
        <w:t>ban</w:t>
      </w:r>
      <w:r w:rsidR="00F0231E" w:rsidRPr="006665A5">
        <w:t>, ahol csak Legfelsőbb Közigazgatási Bíróságot hoztak létre</w:t>
      </w:r>
      <w:r w:rsidR="00644D40">
        <w:t>, ezt a modellt honosítja éppen Szlovákia is meg</w:t>
      </w:r>
      <w:r w:rsidR="00F0231E" w:rsidRPr="006665A5">
        <w:t xml:space="preserve">. </w:t>
      </w:r>
      <w:r w:rsidR="006339C6">
        <w:t>A</w:t>
      </w:r>
      <w:r w:rsidR="00F0231E" w:rsidRPr="006665A5">
        <w:t xml:space="preserve">z elsőfokú hatáskörök </w:t>
      </w:r>
      <w:r w:rsidR="006339C6">
        <w:t xml:space="preserve">ezekben az országokban </w:t>
      </w:r>
      <w:r w:rsidR="00F0231E" w:rsidRPr="006665A5">
        <w:t>a rendes bírósági szervezetrendszer</w:t>
      </w:r>
      <w:r w:rsidR="006339C6">
        <w:t>en belül maradtak</w:t>
      </w:r>
      <w:r w:rsidR="00F0231E" w:rsidRPr="006665A5">
        <w:t>.</w:t>
      </w:r>
      <w:r>
        <w:t xml:space="preserve"> </w:t>
      </w:r>
    </w:p>
    <w:p w14:paraId="5C90072A" w14:textId="006A0400" w:rsidR="00F0231E" w:rsidRPr="006665A5" w:rsidRDefault="00E56589" w:rsidP="0005768E">
      <w:pPr>
        <w:pStyle w:val="fszveg"/>
      </w:pPr>
      <w:r>
        <w:t xml:space="preserve">[6] </w:t>
      </w:r>
      <w:r w:rsidR="00F0231E">
        <w:t>E</w:t>
      </w:r>
      <w:r w:rsidR="00FD7732">
        <w:t xml:space="preserve"> folyamatokka</w:t>
      </w:r>
      <w:r w:rsidR="00F0231E">
        <w:t xml:space="preserve">l párhuzamosan az alapmodelleket alkotó országokban is lényeges változások </w:t>
      </w:r>
      <w:r w:rsidR="00FD7732">
        <w:t xml:space="preserve">következtek </w:t>
      </w:r>
      <w:r w:rsidR="00F0231E">
        <w:t xml:space="preserve">be. A </w:t>
      </w:r>
      <w:r w:rsidR="00F0231E" w:rsidRPr="006665A5">
        <w:t xml:space="preserve">monista rendszer </w:t>
      </w:r>
      <w:r w:rsidR="00FD7732">
        <w:t>egyre kevesebb országban</w:t>
      </w:r>
      <w:r w:rsidR="00F0231E" w:rsidRPr="006665A5">
        <w:t xml:space="preserve"> </w:t>
      </w:r>
      <w:r w:rsidR="00F0231E">
        <w:t xml:space="preserve">érvényesül </w:t>
      </w:r>
      <w:r w:rsidR="00F0231E" w:rsidRPr="006665A5">
        <w:t>már</w:t>
      </w:r>
      <w:r w:rsidR="00F0231E">
        <w:t xml:space="preserve"> tisztán</w:t>
      </w:r>
      <w:r w:rsidR="00F0231E" w:rsidRPr="006665A5">
        <w:t>, Nagy-Britanniában például számos tribunált, tulajdonképpen elsőfokú közigazgatási bíróságot hoztak létre, illetve alkottak már sajátos perjogi szabályokat, és vannak a felsőbíróságon specializálódott tanácsok is. A francia típusú közigazgatási bírósági rendszerek is elmozdultak a német modell irányába, ami részben az EJEB azon ítélkezési gyakorlatának köszönhető, amely több esetben nem fogadta el az Államtanácsot az EEJE 6. cikkének független, pártatlan fórumnak kormányzati konzultatív funkciói miatt. A másik ok az ügyek számának növekedése, így az elmúlt évtizedek</w:t>
      </w:r>
      <w:r w:rsidR="003B6377">
        <w:t>b</w:t>
      </w:r>
      <w:r w:rsidR="00F0231E" w:rsidRPr="006665A5">
        <w:t xml:space="preserve">en </w:t>
      </w:r>
      <w:r w:rsidR="00FD7732">
        <w:t>az eredetileg egyszintű modell az idők folyamán három szintűvé vált</w:t>
      </w:r>
      <w:r w:rsidR="00FD7732" w:rsidRPr="00306563">
        <w:t xml:space="preserve"> </w:t>
      </w:r>
      <w:r w:rsidR="00FD7732">
        <w:t>Franciaországban és Görögországban, s a többi</w:t>
      </w:r>
      <w:r w:rsidR="003B6377">
        <w:t>, e</w:t>
      </w:r>
      <w:r w:rsidR="00FD7732">
        <w:t xml:space="preserve"> mint</w:t>
      </w:r>
      <w:r w:rsidR="003B6377">
        <w:t xml:space="preserve">át </w:t>
      </w:r>
      <w:r w:rsidR="00FD7732">
        <w:t xml:space="preserve">követő országban is több szintű mára. </w:t>
      </w:r>
      <w:r w:rsidR="003B6377">
        <w:t>Ugyanígy megfigyelhetőek ilyen törekvések azokban az országokban is, ahol a német minta alapján építették ki a rendszert, de csak két szinten (pl. Bulgária)</w:t>
      </w:r>
      <w:r>
        <w:t xml:space="preserve">. </w:t>
      </w:r>
      <w:r w:rsidR="0005768E">
        <w:t xml:space="preserve">A korábban szintén </w:t>
      </w:r>
      <w:r w:rsidR="00F0231E" w:rsidRPr="006665A5">
        <w:t xml:space="preserve">egyetlen közigazgatási legfelsőbb bírósággal működő osztrák rendszer </w:t>
      </w:r>
      <w:r w:rsidR="0005768E">
        <w:t>is</w:t>
      </w:r>
      <w:r w:rsidR="00F0231E" w:rsidRPr="006665A5">
        <w:t xml:space="preserve"> </w:t>
      </w:r>
      <w:r w:rsidR="00FD7732">
        <w:t xml:space="preserve">– a független közigazgatási szenátusok közigazgatási bíróságokká alakításával a közigazgatástól független, az igazságszolgáltatási ágba tartozó </w:t>
      </w:r>
      <w:r w:rsidR="00F0231E" w:rsidRPr="006665A5">
        <w:t>kétszintű</w:t>
      </w:r>
      <w:r w:rsidR="00FD7732">
        <w:t xml:space="preserve"> rendszerré</w:t>
      </w:r>
      <w:r>
        <w:t xml:space="preserve"> alakult</w:t>
      </w:r>
      <w:r w:rsidR="00F0231E" w:rsidRPr="006665A5">
        <w:t xml:space="preserve">. </w:t>
      </w:r>
    </w:p>
    <w:p w14:paraId="0FE8DB9E" w14:textId="13FB80BA" w:rsidR="00F0231E" w:rsidRPr="00A367EB" w:rsidRDefault="00F0231E" w:rsidP="008A4FA9">
      <w:pPr>
        <w:pStyle w:val="belscm2"/>
      </w:pPr>
      <w:r w:rsidRPr="00A367EB">
        <w:t>Közigazgatási bíráskodás Európ</w:t>
      </w:r>
      <w:r w:rsidR="00C63257">
        <w:t>ában</w:t>
      </w:r>
    </w:p>
    <w:p w14:paraId="3E5FFE80" w14:textId="4102973C" w:rsidR="00F0231E" w:rsidRPr="00A367EB" w:rsidRDefault="00E56589" w:rsidP="007D0FD5">
      <w:pPr>
        <w:pStyle w:val="fszveg"/>
      </w:pPr>
      <w:r>
        <w:t xml:space="preserve">[7] </w:t>
      </w:r>
      <w:r w:rsidR="00EB27BC">
        <w:t xml:space="preserve">A közigazgatási bíróságok mára európai szinten intenzíven együttműködnek, így </w:t>
      </w:r>
      <w:r w:rsidR="00192A3E">
        <w:t>egyre több a kölcsönhatás a nemzeti rendszerek között.</w:t>
      </w:r>
      <w:r w:rsidR="00B9575D">
        <w:rPr>
          <w:rStyle w:val="Lbjegyzet-hivatkozs"/>
        </w:rPr>
        <w:footnoteReference w:id="6"/>
      </w:r>
      <w:r w:rsidR="00192A3E">
        <w:t xml:space="preserve"> Szupranacionális és nemzetközi szinten is </w:t>
      </w:r>
      <w:r w:rsidR="00917BA7">
        <w:t>találhatunk közigazgatási jogvitákat és azokat elbíráló fórumokat. Így a</w:t>
      </w:r>
      <w:r w:rsidR="00F0231E">
        <w:t xml:space="preserve">z Európai Unió bírósági szervei </w:t>
      </w:r>
      <w:r w:rsidR="00FD7732">
        <w:t>is eljárnak közigazgatási jogviták</w:t>
      </w:r>
      <w:r w:rsidR="00FA11AC">
        <w:t>na</w:t>
      </w:r>
      <w:r w:rsidR="00FD7732">
        <w:t>k minősíthető ügyekben. E</w:t>
      </w:r>
      <w:r w:rsidR="00F0231E">
        <w:t xml:space="preserve">lsősorban a közvetlen végrehajtás kapcsán </w:t>
      </w:r>
      <w:r w:rsidR="00FD7732">
        <w:t>indulhat</w:t>
      </w:r>
      <w:r w:rsidR="00F0231E">
        <w:t xml:space="preserve"> többféle olyan eljárás, amelyek tárgya </w:t>
      </w:r>
      <w:r w:rsidR="00F0231E">
        <w:lastRenderedPageBreak/>
        <w:t xml:space="preserve">az uniós </w:t>
      </w:r>
      <w:r w:rsidR="00F0231E" w:rsidRPr="00504455">
        <w:t xml:space="preserve">szervek </w:t>
      </w:r>
      <w:r w:rsidR="00F0231E">
        <w:t>uniós</w:t>
      </w:r>
      <w:r w:rsidR="00F0231E" w:rsidRPr="00504455">
        <w:t xml:space="preserve"> jog alkalmazás</w:t>
      </w:r>
      <w:r w:rsidR="00F0231E">
        <w:t>ához kapcsolódó közigazgatási tevékenységének jogszerűsége. Ide sorolhat</w:t>
      </w:r>
      <w:r w:rsidR="00FD7732">
        <w:t>unk</w:t>
      </w:r>
      <w:r w:rsidR="00F0231E">
        <w:t xml:space="preserve"> </w:t>
      </w:r>
      <w:r w:rsidR="00FD7732">
        <w:t xml:space="preserve">többet </w:t>
      </w:r>
      <w:r w:rsidR="00F0231E">
        <w:t>az EUMSZ-</w:t>
      </w:r>
      <w:r w:rsidR="00FD7732">
        <w:t>b</w:t>
      </w:r>
      <w:r w:rsidR="00F0231E">
        <w:t>an szabályozott eljárások</w:t>
      </w:r>
      <w:r w:rsidR="00FD7732">
        <w:t xml:space="preserve"> közül, mint pl. </w:t>
      </w:r>
      <w:r w:rsidR="00F0231E" w:rsidRPr="00504455">
        <w:t>a semmisségi kereset [263. (4) bekezdés] és a mulasztási kereset [265. cikk (3) bekezdés] kapcsán indult eljárások</w:t>
      </w:r>
      <w:r w:rsidR="00FD7732">
        <w:t>at</w:t>
      </w:r>
      <w:r w:rsidR="009E3645">
        <w:t xml:space="preserve"> vagy a</w:t>
      </w:r>
      <w:r w:rsidR="00F0231E">
        <w:t xml:space="preserve"> kötelezettségszegési eljárás</w:t>
      </w:r>
      <w:r w:rsidR="009E3645">
        <w:t>t</w:t>
      </w:r>
      <w:r w:rsidR="00F0231E">
        <w:t>, amelyet a Bizottság [258. cikk (2) bekezdés] vagy a tagállam (259. cikk) kezdeményezhet valamely tagállam ellen.</w:t>
      </w:r>
      <w:r w:rsidR="009E3645">
        <w:t xml:space="preserve"> </w:t>
      </w:r>
      <w:r w:rsidR="00F0231E">
        <w:t>Ezen eljárások zömében első fokon a</w:t>
      </w:r>
      <w:r w:rsidR="00361B63">
        <w:t xml:space="preserve"> Törvényszék</w:t>
      </w:r>
      <w:r w:rsidR="00F0231E">
        <w:t xml:space="preserve"> jár el. Az EUB így számos esetben másodfokon jár el, de vannak olyan</w:t>
      </w:r>
      <w:r w:rsidR="00FA11AC">
        <w:t>,</w:t>
      </w:r>
      <w:r w:rsidR="00F0231E">
        <w:t xml:space="preserve"> </w:t>
      </w:r>
      <w:r w:rsidR="00361B63">
        <w:t xml:space="preserve">alapvetően közigazgatási pernek minősíthető </w:t>
      </w:r>
      <w:r w:rsidR="00F0231E">
        <w:t>eljárások, amelyek az EUB kizárólagos hatáskörébe tartoznak.</w:t>
      </w:r>
      <w:r w:rsidR="00C31093">
        <w:t xml:space="preserve"> </w:t>
      </w:r>
      <w:r w:rsidR="00A467EE">
        <w:t xml:space="preserve">Az előzetes döntéshoztatali eljárások </w:t>
      </w:r>
      <w:r w:rsidR="00B9575D">
        <w:t xml:space="preserve">kezdeményezésére </w:t>
      </w:r>
      <w:r w:rsidR="00A467EE">
        <w:t>is legnagyobb arányban közigazgatási bírósági eljárások</w:t>
      </w:r>
      <w:r w:rsidR="00B9575D">
        <w:t>ban kerül sor.</w:t>
      </w:r>
      <w:r w:rsidR="00B9575D">
        <w:rPr>
          <w:rStyle w:val="Lbjegyzet-hivatkozs"/>
        </w:rPr>
        <w:footnoteReference w:id="7"/>
      </w:r>
    </w:p>
    <w:p w14:paraId="54A88204" w14:textId="46E512A8" w:rsidR="009E3645" w:rsidRPr="00CC0E3F" w:rsidRDefault="009E3645" w:rsidP="009E3645">
      <w:pPr>
        <w:pStyle w:val="fszveg"/>
      </w:pPr>
      <w:r>
        <w:t>[</w:t>
      </w:r>
      <w:r w:rsidR="00E56589">
        <w:t>8</w:t>
      </w:r>
      <w:r>
        <w:t>] A</w:t>
      </w:r>
      <w:r w:rsidR="00F0231E">
        <w:t xml:space="preserve">z Európai Unió közigazgatási bíráskodással kapcsolatos követelményei egyrészt az uniós szerződésekből, másrészt az Európai Unió bíróságainak ítéleteiből származnak. A közigazgatási bíráskodás szempontjából is alapvetően </w:t>
      </w:r>
      <w:r w:rsidR="00F0231E" w:rsidRPr="00CC0E3F">
        <w:t xml:space="preserve">néhány egymással kölcsönhatásban lévő elv jelöli ki az alapokat. Ezek: a hatékony jogvédelem általános alapelve, a közösségi jog elsőbbségének elve, </w:t>
      </w:r>
      <w:r w:rsidR="00361B63" w:rsidRPr="00CC0E3F">
        <w:t xml:space="preserve">valamint </w:t>
      </w:r>
      <w:r w:rsidR="00F0231E" w:rsidRPr="00CC0E3F">
        <w:t>a tagállami autonómia elve.</w:t>
      </w:r>
      <w:r w:rsidRPr="00CC0E3F">
        <w:t xml:space="preserve"> </w:t>
      </w:r>
      <w:r w:rsidR="00F0231E" w:rsidRPr="00CC0E3F">
        <w:t xml:space="preserve">Az Európai Unió Bíróságának (EUB) gyakorlata következetes abban a kérdésben, hogy az eljáró bíróságok kijelölése, a perjogi szabályok alakítása az egyes tagállamok hatáskörébe tartozik, mivel nem létezik erre vonatkozó közösségi szabályozás. Ennek ellenére a gyakorlatban egyre több közösségi jogi hatás éri a tagállami közigazgatási jogvédelem alakulását. A tagállami </w:t>
      </w:r>
      <w:r w:rsidR="00361B63" w:rsidRPr="00CC0E3F">
        <w:t>(</w:t>
      </w:r>
      <w:r w:rsidR="00F0231E" w:rsidRPr="00CC0E3F">
        <w:t>eljárási</w:t>
      </w:r>
      <w:r w:rsidR="00361B63" w:rsidRPr="00CC0E3F">
        <w:t>)</w:t>
      </w:r>
      <w:r w:rsidR="00F0231E" w:rsidRPr="00CC0E3F">
        <w:t xml:space="preserve"> autonómia elvét a bírói gyakorlat nagymértékben gyengíti a hatékony és egyenértékű jogvédelem uniós követelményének érvényesülése érdekében.</w:t>
      </w:r>
      <w:r w:rsidRPr="00CC0E3F">
        <w:t xml:space="preserve"> </w:t>
      </w:r>
      <w:r w:rsidR="00F0231E" w:rsidRPr="00CC0E3F">
        <w:t xml:space="preserve">A jogvédelem hatékonysága </w:t>
      </w:r>
      <w:r w:rsidR="00361B63" w:rsidRPr="00CC0E3F">
        <w:t>a</w:t>
      </w:r>
      <w:r w:rsidR="00F0231E" w:rsidRPr="00CC0E3F">
        <w:t>zt követeli meg, hogy olyan jogorvoslati eszköz álljon a kérelmező rendelkezésére, amellyel a közösségi jog által biztosított jogosultságok megsértését eredménnyel tudja</w:t>
      </w:r>
      <w:r w:rsidRPr="00CC0E3F">
        <w:t xml:space="preserve"> bíróság előtt </w:t>
      </w:r>
      <w:r w:rsidR="00F0231E" w:rsidRPr="00CC0E3F">
        <w:t>támadni. Szintén része ennek az alapelvnek a tagállami hatóságok indokolási kötelezettsége, és a közösségi jog érvényesülését hátráltató tagállami szabályok figyelmen kívül hagyásá</w:t>
      </w:r>
      <w:r w:rsidR="00361B63" w:rsidRPr="00CC0E3F">
        <w:t>nak</w:t>
      </w:r>
      <w:r w:rsidR="00F0231E" w:rsidRPr="00CC0E3F">
        <w:t xml:space="preserve"> </w:t>
      </w:r>
      <w:r w:rsidRPr="00CC0E3F">
        <w:t>(</w:t>
      </w:r>
      <w:r w:rsidR="00F0231E" w:rsidRPr="00CC0E3F">
        <w:t>bírói</w:t>
      </w:r>
      <w:r w:rsidRPr="00CC0E3F">
        <w:t>)</w:t>
      </w:r>
      <w:r w:rsidR="00F0231E" w:rsidRPr="00CC0E3F">
        <w:t xml:space="preserve"> kötelezettség</w:t>
      </w:r>
      <w:r w:rsidR="00361B63" w:rsidRPr="00CC0E3F">
        <w:t>e</w:t>
      </w:r>
      <w:r w:rsidR="00F0231E" w:rsidRPr="00CC0E3F">
        <w:t xml:space="preserve">. Az alapelv tartalmának kibontásában </w:t>
      </w:r>
      <w:r w:rsidRPr="00CC0E3F">
        <w:t>mind</w:t>
      </w:r>
      <w:r w:rsidR="00F0231E" w:rsidRPr="00CC0E3F">
        <w:t xml:space="preserve"> az EJEB gyakorlatá</w:t>
      </w:r>
      <w:r w:rsidRPr="00CC0E3F">
        <w:t>ra, mind</w:t>
      </w:r>
      <w:r w:rsidR="00F0231E" w:rsidRPr="00CC0E3F">
        <w:t xml:space="preserve"> a tagállami alkotmányos hagyományok</w:t>
      </w:r>
      <w:r w:rsidRPr="00CC0E3F">
        <w:t>ra is támaszkodik</w:t>
      </w:r>
      <w:r w:rsidR="00F0231E" w:rsidRPr="00CC0E3F">
        <w:t xml:space="preserve"> a</w:t>
      </w:r>
      <w:r w:rsidRPr="00CC0E3F">
        <w:t xml:space="preserve">z EUB, akárcsak az uniós jogalkotó. </w:t>
      </w:r>
      <w:r w:rsidR="00F0231E" w:rsidRPr="00CC0E3F">
        <w:t>Ezt tükrözi az Európai Unió Alapjogi Chartájának 47. cikke, amely a hatékony jogorvoslathoz és a tisztességes eljáráshoz való jogot mondja ki.</w:t>
      </w:r>
      <w:r w:rsidRPr="00CC0E3F">
        <w:t xml:space="preserve"> </w:t>
      </w:r>
    </w:p>
    <w:p w14:paraId="03B83B76" w14:textId="17120EAE" w:rsidR="00F0231E" w:rsidRDefault="009E3645" w:rsidP="007D0FD5">
      <w:pPr>
        <w:pStyle w:val="fszveg"/>
      </w:pPr>
      <w:r>
        <w:t>[</w:t>
      </w:r>
      <w:r w:rsidR="00E56589">
        <w:t>9</w:t>
      </w:r>
      <w:r>
        <w:t xml:space="preserve">] </w:t>
      </w:r>
      <w:r w:rsidR="00F0231E" w:rsidRPr="007D0FD5">
        <w:t xml:space="preserve">A közigazgatási perjog szempontjából az EEJE két legfontosabb rendelkezése a 6. cikk és a 13. cikk. A 6. cikk ugyan a polgári jogi igényekre és a büntetőjogi vádakra vonatkozóan mondja ki a bírósághoz forduláshoz és a tisztességes eljáráshoz való jogot, de számos közigazgatási ügy besorolható vagy a polgári jogi igények, vagy a büntetőügyek közé. Utóbbi körbe tartoznak például a versenyjogi szankciók, közlekedési szabályszegések az ún. Engel-kritériumok alapján. Polgári jogi igényekről van szó bizonyos működési engedélyek, </w:t>
      </w:r>
      <w:r>
        <w:t>ingatlan</w:t>
      </w:r>
      <w:r w:rsidR="0011003E">
        <w:t>n</w:t>
      </w:r>
      <w:r>
        <w:t>yilvántartási</w:t>
      </w:r>
      <w:r w:rsidR="00F0231E" w:rsidRPr="007D0FD5">
        <w:t xml:space="preserve"> ügyek vagy tulajdonkorlátozást eredményező ügyek esetében. Az Európa Tanács olyan ajánlásokat is elfogadott, amelyek a közigazgatási bíráskodást (is) érintik. Ezekben az Európa Tanács Miniszterek Bizottsága főként elveket </w:t>
      </w:r>
      <w:r w:rsidR="00F0231E" w:rsidRPr="007D0FD5">
        <w:lastRenderedPageBreak/>
        <w:t>határoz meg, és azokat magyarázza</w:t>
      </w:r>
      <w:r w:rsidR="0011003E">
        <w:t>,</w:t>
      </w:r>
      <w:r>
        <w:rPr>
          <w:rStyle w:val="Lbjegyzet-hivatkozs"/>
        </w:rPr>
        <w:footnoteReference w:id="8"/>
      </w:r>
      <w:r w:rsidR="00F0231E" w:rsidRPr="007D0FD5">
        <w:t xml:space="preserve"> </w:t>
      </w:r>
      <w:r w:rsidR="0011003E">
        <w:t>elsősorban</w:t>
      </w:r>
      <w:r>
        <w:t xml:space="preserve"> az EJEB gyakorlata</w:t>
      </w:r>
      <w:r w:rsidR="0011003E">
        <w:t xml:space="preserve"> alapján</w:t>
      </w:r>
      <w:r w:rsidR="004C16D3">
        <w:t>. A legjelentősebb ezek közül a</w:t>
      </w:r>
      <w:r w:rsidR="00F0231E" w:rsidRPr="007D0FD5">
        <w:t xml:space="preserve"> Miniszterek Tanácsa Rec(2004) 20. számú ajánlása a közigazgatási aktusok bírósági felülvizsgálatáról.</w:t>
      </w:r>
      <w:r w:rsidR="004C16D3">
        <w:rPr>
          <w:rStyle w:val="Lbjegyzet-hivatkozs"/>
        </w:rPr>
        <w:footnoteReference w:id="9"/>
      </w:r>
    </w:p>
    <w:p w14:paraId="1D971870" w14:textId="77777777" w:rsidR="009C55D5" w:rsidRPr="001C086D" w:rsidRDefault="009C55D5" w:rsidP="009C55D5">
      <w:pPr>
        <w:pStyle w:val="belscm2"/>
      </w:pPr>
      <w:r w:rsidRPr="001C086D">
        <w:t>A közigazgatási bíráskodás funkciói</w:t>
      </w:r>
    </w:p>
    <w:p w14:paraId="3E0DF125" w14:textId="5C3D9C11" w:rsidR="009C55D5" w:rsidRPr="00AF2616" w:rsidRDefault="00122AD7" w:rsidP="009C55D5">
      <w:pPr>
        <w:pStyle w:val="fszveg"/>
      </w:pPr>
      <w:r w:rsidRPr="00122AD7">
        <w:t>[</w:t>
      </w:r>
      <w:r>
        <w:t>10</w:t>
      </w:r>
      <w:r w:rsidRPr="00122AD7">
        <w:t xml:space="preserve">] A közigazgatási bíráskodást születése óta kíséri az a kérdés, hogy vajon mi is annak fő célja: a közigazgatás törvényességének biztosítása </w:t>
      </w:r>
      <w:r>
        <w:t xml:space="preserve">(Verwaltungskontrolle) </w:t>
      </w:r>
      <w:r w:rsidRPr="00122AD7">
        <w:t>vagy a közigazgatással szembeni jogvédelem biztosítása</w:t>
      </w:r>
      <w:r>
        <w:t xml:space="preserve"> (Rechtsschutz)?</w:t>
      </w:r>
      <w:r w:rsidRPr="00122AD7">
        <w:t xml:space="preserve"> Míg a francia megoldás előbbi mellett tette le voksát, Németországban az utóbbi modell győzedelmeskedett. </w:t>
      </w:r>
      <w:r>
        <w:t>Ezek a jellegzetességek a keresetind</w:t>
      </w:r>
      <w:r w:rsidR="00E945CF">
        <w:t>í</w:t>
      </w:r>
      <w:r>
        <w:t xml:space="preserve">tási jog szabályozásában és értelmezésében a mai napig meglátszanak, ugyanakkor a jelenleg érvényesülő tendenciák révén egyre közelebb kerül egymáshoz ez a két modell. </w:t>
      </w:r>
      <w:r w:rsidR="007F3C83">
        <w:t>Szubjektív</w:t>
      </w:r>
      <w:r>
        <w:t xml:space="preserve"> és </w:t>
      </w:r>
      <w:r w:rsidR="007F3C83">
        <w:t>objektív</w:t>
      </w:r>
      <w:r>
        <w:t xml:space="preserve"> jogvédelem ugyanis nem egymást kizáró, hanem egymást </w:t>
      </w:r>
      <w:r w:rsidR="007F3C83">
        <w:t>kiegészítő</w:t>
      </w:r>
      <w:r>
        <w:t xml:space="preserve"> funkciók. </w:t>
      </w:r>
      <w:r w:rsidR="007F3C83">
        <w:t>Mára általánosan elfogadott, hogy a</w:t>
      </w:r>
      <w:r w:rsidR="009C55D5" w:rsidRPr="002C62DB">
        <w:t xml:space="preserve"> közigazgatási bíráskodásban is a szubjektív jogvédelemnek kell elsődlegesen érvényre jutnia, tehát a bíróságnak a közigazgatás jogsértő tevékenységével szemben kell hatékony védelmet nyújtania az alanyi jogaikban és jogos érdekeikben érintett jogalanyoknak.</w:t>
      </w:r>
      <w:r w:rsidR="007F3C83">
        <w:t xml:space="preserve"> </w:t>
      </w:r>
      <w:r w:rsidR="009C55D5" w:rsidRPr="002C62DB">
        <w:t xml:space="preserve">A szubjektív jogvédelmi funkció mellett az objektív jogvédelmi funkció kiegészítő szerepet játszik: bizonyos esetekben egyéni jogvédelmi igény nélkül is szükséges ugyanis a legalitás elvének érvényre juttatása a tárgyi jogrend helyreállítása révén a jogállamiság és a hatalmi ágak megosztásának az alapelveiből kifolyólag. </w:t>
      </w:r>
      <w:r w:rsidR="007F3C83" w:rsidRPr="002C62DB">
        <w:t xml:space="preserve">Éppen a tárgyi jog védelme miatt a jogvédelem tágabb fogalom, mint a jogorvoslat. </w:t>
      </w:r>
      <w:r w:rsidR="009C55D5" w:rsidRPr="002C62DB">
        <w:t>E két jogvédelmi funkció egyensúly</w:t>
      </w:r>
      <w:r w:rsidR="007F3C83">
        <w:t xml:space="preserve">i helyzete országonként más és más lehet, azt tipikusan </w:t>
      </w:r>
      <w:r w:rsidR="009C55D5" w:rsidRPr="002C62DB">
        <w:t xml:space="preserve">a normaszöveg </w:t>
      </w:r>
      <w:r w:rsidR="007F3C83">
        <w:t xml:space="preserve">és annak bírósági értelmezése </w:t>
      </w:r>
      <w:r w:rsidR="009C55D5" w:rsidRPr="002C62DB">
        <w:t xml:space="preserve">konkretizálja. </w:t>
      </w:r>
      <w:r w:rsidR="007F3C83">
        <w:t xml:space="preserve">A keresetindítási jog mellett a bíróság vizsgálati jogkörének kialakítása, </w:t>
      </w:r>
      <w:r w:rsidR="007C7176">
        <w:t>a bizonyítási rendszer illetve a bíróság feladatai a főbb csomópontjai ezen egyensúlyi helyzet megteremtésének. Így például a</w:t>
      </w:r>
      <w:r w:rsidR="009C55D5" w:rsidRPr="002C62DB">
        <w:t xml:space="preserve"> Kp. 2. § (4) bekezdésében fő szabályként rögzíti a rendelkezési elvet: a bíróság a közigazgatási jogvitát a kereseti kérelem, a felek által előterjesztett kérelmek és jognyilatkozatok keretei között bírálja el. Ezt azonban nyomban relativizálja is a törvény azzal, hogy a Kp. ettől eltérően rendelkezhet. Már a következő bekezdés lehetővé teszi, hogy törvényben meghatározott esetben a bíróság hivatalbóli vizsgálatot vagy bizonyítást rendeljen el, és ezt a Kp. számos szabálya is részletezi. Szintén relativizálja a rendelkezési elvet a tartalmi elbírálás kötelezettsége, amelynek alapján a bíróság a fél által előadott kérelmeket, nyilatkozatokat nem alakszerű megjelölésük, hanem tartalmuk szerint veszi figyelembe. Ez a fegyverek egyenlőségének biztosításához is szükséges, ami szintén e két funkció másfajta egyensúlyi helyzetének kialakítását teszi szükségessé. </w:t>
      </w:r>
      <w:r w:rsidR="007C7176">
        <w:t>A keresetindítási jog</w:t>
      </w:r>
      <w:r w:rsidR="009C55D5" w:rsidRPr="002C62DB">
        <w:t xml:space="preserve"> </w:t>
      </w:r>
      <w:r w:rsidR="007C7176">
        <w:t xml:space="preserve">egyéni jogsérelemtől való függetlenítése is az objektív jogvédelmet szolgálja: </w:t>
      </w:r>
      <w:r w:rsidR="009C55D5" w:rsidRPr="002C62DB">
        <w:t xml:space="preserve">az </w:t>
      </w:r>
      <w:r w:rsidR="007C7176">
        <w:t xml:space="preserve">ilyen </w:t>
      </w:r>
      <w:r w:rsidR="009C55D5" w:rsidRPr="002C62DB">
        <w:t>esetek</w:t>
      </w:r>
      <w:r w:rsidR="007C7176">
        <w:t xml:space="preserve"> egy részé</w:t>
      </w:r>
      <w:r w:rsidR="009C55D5" w:rsidRPr="002C62DB">
        <w:t>ben olyan szer</w:t>
      </w:r>
      <w:r w:rsidR="007C7176">
        <w:t>v</w:t>
      </w:r>
      <w:r w:rsidR="009C55D5" w:rsidRPr="002C62DB">
        <w:t xml:space="preserve"> </w:t>
      </w:r>
      <w:r w:rsidR="007C7176">
        <w:t>kezdeményezheti a bíróság</w:t>
      </w:r>
      <w:r w:rsidR="009C55D5" w:rsidRPr="002C62DB">
        <w:t xml:space="preserve"> eljárás</w:t>
      </w:r>
      <w:r w:rsidR="007C7176">
        <w:t>á</w:t>
      </w:r>
      <w:r w:rsidR="009C55D5" w:rsidRPr="002C62DB">
        <w:t xml:space="preserve">t, melynek nem fűződik személyes érdeke az ügyhöz, hanem hivatali kötelessége a törvénysértések elleni fellépés. Hasonlóképpen a közigazgatás törvényessége felett őrködő ügyész is felléphet a közigazgatási szervek törvénysértő döntéseivel szemben közérdekvédelmi jogkörében. </w:t>
      </w:r>
      <w:r w:rsidR="007C7176">
        <w:t>Szintén ide tartozik az</w:t>
      </w:r>
      <w:r w:rsidR="009C55D5" w:rsidRPr="002C62DB">
        <w:t xml:space="preserve"> olyan civil szervezetek keresetindítási jogának</w:t>
      </w:r>
      <w:r w:rsidR="009C55D5">
        <w:t xml:space="preserve"> </w:t>
      </w:r>
      <w:r w:rsidR="009C55D5" w:rsidRPr="002C62DB">
        <w:t>biztosítása, amelyek a közérdeket vagy annak valamely részelemét védik</w:t>
      </w:r>
      <w:r w:rsidR="009C55D5" w:rsidRPr="00AF2616">
        <w:t>.</w:t>
      </w:r>
    </w:p>
    <w:p w14:paraId="7F869B9C" w14:textId="24715CF2" w:rsidR="009C55D5" w:rsidRDefault="009C55D5" w:rsidP="001A27A7">
      <w:pPr>
        <w:pStyle w:val="fszveg"/>
      </w:pPr>
      <w:r w:rsidRPr="002C62DB">
        <w:rPr>
          <w:iCs/>
        </w:rPr>
        <w:t>[1</w:t>
      </w:r>
      <w:r w:rsidR="007C7176">
        <w:rPr>
          <w:iCs/>
        </w:rPr>
        <w:t>1</w:t>
      </w:r>
      <w:r w:rsidRPr="002C62DB">
        <w:rPr>
          <w:iCs/>
        </w:rPr>
        <w:t xml:space="preserve">] </w:t>
      </w:r>
      <w:r w:rsidRPr="002C62DB">
        <w:t>A szubjektív és az objektív jogvédelmi célokon túl további funkciója a közigazgatási bíráskodásnak a regulatív funkció, mely a jogvédelmi funkciókkal összefüggésben a közigazgatási bíráskodásnak a hatalmi ágak rendszerében betöltött szerepéhez, illetve a jogállamiság elvéhez kapcsolódik. Lényege, hogy a közigazgatási bír</w:t>
      </w:r>
      <w:r>
        <w:t>óság</w:t>
      </w:r>
      <w:r w:rsidRPr="002C62DB">
        <w:t xml:space="preserve"> őrködik afelett, hogy a közigazgatási szervek csak a jogalkotó által szándékolt és megengedett okokból, módokon és eszközökkel avatkozzanak be a jogalanyok viszonyaiba. Ez a funkció túlmutat a konkrét bírósági eljárásban nyújtott jogvédelmen</w:t>
      </w:r>
      <w:r>
        <w:t>, hiszen</w:t>
      </w:r>
      <w:r w:rsidRPr="002C62DB">
        <w:t xml:space="preserve"> a bíróság</w:t>
      </w:r>
      <w:r>
        <w:t xml:space="preserve"> ítélete</w:t>
      </w:r>
      <w:r w:rsidRPr="002C62DB">
        <w:t xml:space="preserve"> meghatározza azt is, hogy a közigazgatási szerv</w:t>
      </w:r>
      <w:r w:rsidR="000B3303">
        <w:t xml:space="preserve"> – illetve akár több közigazgatási szerv is –</w:t>
      </w:r>
      <w:r w:rsidRPr="002C62DB">
        <w:t xml:space="preserve"> a hasonló közigazgatási tevékenységét a jövőben más jogalanyokkal szemben hogyan valósítsa meg, tehát bizonyos fokig </w:t>
      </w:r>
      <w:r w:rsidRPr="002C62DB">
        <w:rPr>
          <w:i/>
        </w:rPr>
        <w:t>pro futuro,</w:t>
      </w:r>
      <w:r w:rsidRPr="002C62DB">
        <w:t xml:space="preserve"> a jövőre nézve </w:t>
      </w:r>
      <w:r w:rsidR="000B3303">
        <w:t xml:space="preserve">is </w:t>
      </w:r>
      <w:r w:rsidRPr="002C62DB">
        <w:t>jogvédelmet</w:t>
      </w:r>
      <w:r w:rsidR="000B3303">
        <w:t xml:space="preserve"> biztosít</w:t>
      </w:r>
      <w:r w:rsidRPr="002C62DB">
        <w:t xml:space="preserve">. </w:t>
      </w:r>
      <w:r w:rsidR="000B3303">
        <w:t>A regulatív funkció fogalmi párja tulajdonképpen a</w:t>
      </w:r>
      <w:r w:rsidR="000B3303" w:rsidRPr="002C62DB">
        <w:t xml:space="preserve"> stabilizációs funkció</w:t>
      </w:r>
      <w:r w:rsidR="000B3303">
        <w:t>, amely</w:t>
      </w:r>
      <w:r w:rsidR="000B3303" w:rsidRPr="002C62DB">
        <w:t xml:space="preserve"> az ítéletek által a közigazgatási cselekményeknek biztosított anyagi jogerő révén valósul meg. </w:t>
      </w:r>
      <w:r w:rsidR="000B3303">
        <w:t>Ha a bíróság érdemben döntött egy közigazgatási tevékenység törvényességének kérdéséről, az többé nem változtatható meg és nem vonható kétségbe. Ellentétben a regulatív funkcióval ez azokban az esetekben az igazán lényeges a közigazgatás számára, amikor a bíróság a keresetet elutasítja s ezzel – ugyan csak a kereseti kérelem keretei között – azt is egyértelművé teszi, hogy a közigazgatás megfelelő gyakorlatot folytat.</w:t>
      </w:r>
      <w:r w:rsidR="001A27A7">
        <w:t xml:space="preserve"> Végezetül nagyon jelentős funkciója a közigazgatási bíráskodásnak a</w:t>
      </w:r>
      <w:r w:rsidRPr="002C62DB">
        <w:t xml:space="preserve"> jogfejlesztő funkció</w:t>
      </w:r>
      <w:r w:rsidR="001A27A7">
        <w:t>, amely</w:t>
      </w:r>
      <w:r w:rsidRPr="002C62DB">
        <w:t xml:space="preserve"> </w:t>
      </w:r>
      <w:r>
        <w:t xml:space="preserve">jóval koncentráltabban jelentkezik, mint a többi ítélkezési ágban. Egyfelől a közigazgatási jog dogmatikája rövidebb múltra tekint vissza, így fokozottabban szorul fejlesztésre. Másfelől a közigazgatási joganyag jóval szerteágazóbb és sokszínűbb, a rendszeralkotás ezért folyamatos feladat, az állami feladatellátás változásainak kérdései is gyakorta </w:t>
      </w:r>
      <w:r w:rsidR="001A27A7">
        <w:t xml:space="preserve">vetnek fel </w:t>
      </w:r>
      <w:r>
        <w:t>tisztázásra szorul</w:t>
      </w:r>
      <w:r w:rsidR="001A27A7">
        <w:t>ó kérdéseket</w:t>
      </w:r>
      <w:r>
        <w:t xml:space="preserve">. </w:t>
      </w:r>
    </w:p>
    <w:p w14:paraId="28131C17" w14:textId="61426D29" w:rsidR="00443B6A" w:rsidRPr="007D0FD5" w:rsidRDefault="007F3C83" w:rsidP="005378AA">
      <w:pPr>
        <w:pStyle w:val="fszveg"/>
      </w:pPr>
      <w:r w:rsidRPr="00A15350">
        <w:t>[</w:t>
      </w:r>
      <w:r>
        <w:t>1</w:t>
      </w:r>
      <w:r w:rsidR="00CB3AEC">
        <w:t>2</w:t>
      </w:r>
      <w:r w:rsidRPr="00A15350">
        <w:t>]</w:t>
      </w:r>
      <w:r>
        <w:t xml:space="preserve"> </w:t>
      </w:r>
      <w:r w:rsidR="001A27A7">
        <w:t xml:space="preserve">Számos országban alkotmányos szinten találhatunk szabályokat a </w:t>
      </w:r>
      <w:r>
        <w:t>közigazgatással szembeni jogvédelemre</w:t>
      </w:r>
      <w:r w:rsidR="001A27A7">
        <w:t>, vagy a közigazgatási bíráskodás rendeltetésére</w:t>
      </w:r>
      <w:r w:rsidR="00A30097">
        <w:t>, s nem csak szervezetére</w:t>
      </w:r>
      <w:r w:rsidR="0054245C">
        <w:t>, ezek azonban igen változatos képet mutatnak</w:t>
      </w:r>
      <w:r>
        <w:t>.</w:t>
      </w:r>
      <w:r>
        <w:rPr>
          <w:rStyle w:val="Lbjegyzet-hivatkozs"/>
        </w:rPr>
        <w:footnoteReference w:id="10"/>
      </w:r>
      <w:r>
        <w:t xml:space="preserve"> </w:t>
      </w:r>
      <w:r w:rsidR="0054245C">
        <w:t xml:space="preserve">Magyarország </w:t>
      </w:r>
      <w:r w:rsidR="001A27A7">
        <w:t>Alaptörvény</w:t>
      </w:r>
      <w:r w:rsidR="0054245C">
        <w:t>e</w:t>
      </w:r>
      <w:r w:rsidR="001A27A7">
        <w:t xml:space="preserve"> ilyen </w:t>
      </w:r>
      <w:r w:rsidR="001906B5">
        <w:t xml:space="preserve">kifejezett </w:t>
      </w:r>
      <w:r w:rsidR="001A27A7">
        <w:t>rendelkezést</w:t>
      </w:r>
      <w:r w:rsidR="00565362">
        <w:t xml:space="preserve"> nem tartalmaz</w:t>
      </w:r>
      <w:r w:rsidR="001A27A7">
        <w:t xml:space="preserve">, </w:t>
      </w:r>
      <w:r w:rsidR="00724330">
        <w:t xml:space="preserve">de rögzíti </w:t>
      </w:r>
      <w:r>
        <w:t>a bíróság</w:t>
      </w:r>
      <w:r w:rsidR="00565362">
        <w:t>ok</w:t>
      </w:r>
      <w:r>
        <w:t xml:space="preserve"> hatáskörére vonatkozó 25. cikk (2) bekezdés</w:t>
      </w:r>
      <w:r w:rsidR="00565362">
        <w:t>ében</w:t>
      </w:r>
      <w:r>
        <w:t xml:space="preserve">, </w:t>
      </w:r>
      <w:r w:rsidR="00565362">
        <w:t>hogy</w:t>
      </w:r>
      <w:r>
        <w:t xml:space="preserve"> a bíróság dönt </w:t>
      </w:r>
      <w:r w:rsidR="001906B5">
        <w:t xml:space="preserve">– többek között – </w:t>
      </w:r>
      <w:r>
        <w:t xml:space="preserve">a közigazgatási határozatok törvényességéről, illetve az önkormányzati rendeletekkel szembeni normakontroll-eljárásokban. </w:t>
      </w:r>
      <w:r w:rsidR="00101584">
        <w:t xml:space="preserve">E rendelkezés mellett az alkotmányos szabályokból </w:t>
      </w:r>
      <w:r w:rsidR="000D12EA">
        <w:t xml:space="preserve">persze </w:t>
      </w:r>
      <w:r w:rsidR="00101584">
        <w:t>kibontható</w:t>
      </w:r>
      <w:r w:rsidR="000D12EA">
        <w:t xml:space="preserve"> a közigazgatási bíráskodás szerepe</w:t>
      </w:r>
      <w:r w:rsidR="00101584">
        <w:t>.</w:t>
      </w:r>
      <w:r w:rsidR="00474689">
        <w:rPr>
          <w:rStyle w:val="Lbjegyzet-hivatkozs"/>
        </w:rPr>
        <w:footnoteReference w:id="11"/>
      </w:r>
      <w:r w:rsidR="00101584">
        <w:t xml:space="preserve"> </w:t>
      </w:r>
      <w:r w:rsidRPr="00A36D56">
        <w:t>Az Alaptörvényből kimaradt célmeghatározást igyekszik pótolni – többek</w:t>
      </w:r>
      <w:r w:rsidRPr="002C62DB">
        <w:t xml:space="preserve"> között – a Kp. preambuluma</w:t>
      </w:r>
      <w:r w:rsidR="007E1486">
        <w:t>, amely</w:t>
      </w:r>
      <w:r w:rsidRPr="002C62DB">
        <w:t xml:space="preserve"> nem kizárólag a szubjektív jogvédelmet alapozza meg</w:t>
      </w:r>
      <w:r w:rsidR="007E1486">
        <w:t>, hanem</w:t>
      </w:r>
      <w:r w:rsidRPr="002C62DB">
        <w:t xml:space="preserve"> a közigazgatás jogszerűségének ellenőrzését </w:t>
      </w:r>
      <w:r w:rsidR="007E1486">
        <w:t xml:space="preserve">is. </w:t>
      </w:r>
      <w:r w:rsidR="00CB3AEC">
        <w:t>E</w:t>
      </w:r>
      <w:r w:rsidRPr="00122AD7">
        <w:t xml:space="preserve"> kettő </w:t>
      </w:r>
      <w:r w:rsidR="00CB3AEC">
        <w:t>a magyar közigazgatási bíráskodásban a kezdetektől jelen van</w:t>
      </w:r>
      <w:r w:rsidR="00DF5E6A">
        <w:t xml:space="preserve">: </w:t>
      </w:r>
      <w:r w:rsidR="00AB152D">
        <w:t xml:space="preserve">a kezdeti német – szubjektív jogvédelmi – orientációt követően </w:t>
      </w:r>
      <w:r w:rsidR="00CB3AEC">
        <w:t>a</w:t>
      </w:r>
      <w:r w:rsidRPr="00122AD7">
        <w:t xml:space="preserve"> </w:t>
      </w:r>
      <w:r w:rsidR="00CB3AEC">
        <w:t xml:space="preserve">szocializmusban erőteljesebb volt az </w:t>
      </w:r>
      <w:r w:rsidRPr="00122AD7">
        <w:t xml:space="preserve">objektív jogvédelem, a közigazgatási per speciális polgári eljárásként való szabályozása </w:t>
      </w:r>
      <w:r w:rsidR="00CB3AEC">
        <w:t xml:space="preserve">viszont </w:t>
      </w:r>
      <w:r w:rsidRPr="00122AD7">
        <w:t xml:space="preserve">egyre erősebb </w:t>
      </w:r>
      <w:r w:rsidR="00CB3AEC">
        <w:t xml:space="preserve">– sőt, egy időre </w:t>
      </w:r>
      <w:r w:rsidR="0088135C">
        <w:t xml:space="preserve">szinte </w:t>
      </w:r>
      <w:r w:rsidR="00CB3AEC">
        <w:t xml:space="preserve">kizárólag – </w:t>
      </w:r>
      <w:r w:rsidRPr="00122AD7">
        <w:t xml:space="preserve">szubjektív jogvédelmi funkciót eredményezett. </w:t>
      </w:r>
      <w:r w:rsidR="00E47913">
        <w:t xml:space="preserve">Az Alkotmánybíróság gyakorlatában </w:t>
      </w:r>
      <w:r w:rsidR="0088135C">
        <w:t>fokozatosan</w:t>
      </w:r>
      <w:r w:rsidR="000900B2">
        <w:t xml:space="preserve"> </w:t>
      </w:r>
      <w:r w:rsidR="00424C81">
        <w:t xml:space="preserve">egyre </w:t>
      </w:r>
      <w:r w:rsidR="00E47913">
        <w:t xml:space="preserve">lényegesebb szerepet </w:t>
      </w:r>
      <w:r w:rsidR="00AE3487">
        <w:t>kapott a jogorvoslathoz való jog mellett az Alkotmány 50. § (2) bekezdés</w:t>
      </w:r>
      <w:r w:rsidR="00A273F9">
        <w:t xml:space="preserve">e, illetve </w:t>
      </w:r>
      <w:r w:rsidR="004B7955">
        <w:t xml:space="preserve">70/K. §-án keresztül </w:t>
      </w:r>
      <w:r w:rsidR="00A273F9">
        <w:t>a bírói úthoz való jog</w:t>
      </w:r>
      <w:r w:rsidR="002178D1">
        <w:t>,</w:t>
      </w:r>
      <w:r w:rsidR="004B7955">
        <w:rPr>
          <w:rStyle w:val="Lbjegyzet-hivatkozs"/>
        </w:rPr>
        <w:footnoteReference w:id="12"/>
      </w:r>
      <w:r w:rsidR="002178D1">
        <w:t xml:space="preserve"> ami a szubjektív jogvédelem mellett az objektív jogvédelem erősödését mutat</w:t>
      </w:r>
      <w:r w:rsidR="000B132A">
        <w:t>t</w:t>
      </w:r>
      <w:r w:rsidR="002178D1">
        <w:t xml:space="preserve">a. </w:t>
      </w:r>
      <w:r w:rsidR="00DF4275">
        <w:t xml:space="preserve">Ezzel párhuzamosan a Legfelsőbb Bíróságnak </w:t>
      </w:r>
      <w:r w:rsidR="000B132A">
        <w:t xml:space="preserve">is </w:t>
      </w:r>
      <w:r w:rsidR="00DF4275">
        <w:t>foglalkoznia kellett a civil szervezetek keresetindításának kérdésével a környezetvédelmi közigazgatási ügyek kapcsán,</w:t>
      </w:r>
      <w:r w:rsidR="00DF4275">
        <w:rPr>
          <w:rStyle w:val="Lbjegyzet-hivatkozs"/>
        </w:rPr>
        <w:footnoteReference w:id="13"/>
      </w:r>
      <w:r w:rsidR="00DF4275">
        <w:t xml:space="preserve"> s 1/2004. KJE jogegységi határozatában elismerte az objektív jog</w:t>
      </w:r>
      <w:r w:rsidR="000B132A">
        <w:t>védelm</w:t>
      </w:r>
      <w:r w:rsidR="00DF4275">
        <w:t xml:space="preserve">i funkció növekvő jelentőségét Európában, és az Aarhusi Egyezményre tekintettel kiterjesztően értelmezte </w:t>
      </w:r>
      <w:r w:rsidR="0099705A">
        <w:t>ezeket az objektív jogvédelmet megvalósító</w:t>
      </w:r>
      <w:r w:rsidR="00DF4275">
        <w:t xml:space="preserve"> szabályokat. Ezt követően mind a jogalkotó, mind a </w:t>
      </w:r>
      <w:r w:rsidR="007A7EBB">
        <w:t xml:space="preserve">felsőbírósági </w:t>
      </w:r>
      <w:r w:rsidR="00DF4275">
        <w:t xml:space="preserve">joggyakorlat </w:t>
      </w:r>
      <w:r w:rsidR="007A7EBB">
        <w:t xml:space="preserve">is </w:t>
      </w:r>
      <w:r w:rsidR="00DF4275">
        <w:t>szélesítette az objektív jogvédelem hatókörét.</w:t>
      </w:r>
      <w:r w:rsidR="00F802FD">
        <w:t xml:space="preserve"> A Knptv. bevezette</w:t>
      </w:r>
      <w:r w:rsidR="009E361A" w:rsidRPr="009E361A">
        <w:t xml:space="preserve"> </w:t>
      </w:r>
      <w:r w:rsidR="009E361A">
        <w:t>a hivatalbóli bizonyítás elrendelésének, a bizonyítási teher megfordulásának, illetve a</w:t>
      </w:r>
      <w:r w:rsidR="00F802FD">
        <w:t xml:space="preserve"> </w:t>
      </w:r>
      <w:r w:rsidR="009E361A">
        <w:t>döntés más jogalapra helyezésének elvi lehetőség</w:t>
      </w:r>
      <w:r w:rsidR="00F802FD">
        <w:t xml:space="preserve">ét. A bírói </w:t>
      </w:r>
      <w:r w:rsidR="009E361A">
        <w:t xml:space="preserve">gyakorlat </w:t>
      </w:r>
      <w:r w:rsidR="00F802FD">
        <w:t xml:space="preserve">pedig </w:t>
      </w:r>
      <w:r w:rsidR="009E361A">
        <w:t>eljutott a</w:t>
      </w:r>
      <w:r w:rsidR="00F802FD">
        <w:t xml:space="preserve"> </w:t>
      </w:r>
      <w:r w:rsidR="009E361A">
        <w:t>semmisség hivatalbóli észlelésének kötelezettségéhez.</w:t>
      </w:r>
      <w:r w:rsidR="002F2867">
        <w:rPr>
          <w:rStyle w:val="Lbjegyzet-hivatkozs"/>
        </w:rPr>
        <w:footnoteReference w:id="14"/>
      </w:r>
      <w:r w:rsidR="0088254B">
        <w:t xml:space="preserve"> </w:t>
      </w:r>
      <w:r w:rsidR="00CB3AEC">
        <w:t xml:space="preserve">A további funkciókat </w:t>
      </w:r>
      <w:r w:rsidR="002178D1">
        <w:t xml:space="preserve">a Kp. </w:t>
      </w:r>
      <w:r w:rsidR="00CB3AEC">
        <w:t>részletszabály</w:t>
      </w:r>
      <w:r w:rsidR="00614340">
        <w:t>ok</w:t>
      </w:r>
      <w:r w:rsidR="002178D1">
        <w:t>, ill</w:t>
      </w:r>
      <w:r w:rsidR="00614340">
        <w:t>etve</w:t>
      </w:r>
      <w:r w:rsidR="002178D1">
        <w:t xml:space="preserve"> </w:t>
      </w:r>
      <w:r w:rsidR="00614340">
        <w:t>tág</w:t>
      </w:r>
      <w:r w:rsidR="002178D1">
        <w:t xml:space="preserve"> mérlegelési mozgásterek biztosításán keresztül jeleníti meg</w:t>
      </w:r>
      <w:r w:rsidR="00CB3AEC">
        <w:t>.</w:t>
      </w:r>
      <w:r w:rsidR="002178D1">
        <w:rPr>
          <w:rStyle w:val="Lbjegyzet-hivatkozs"/>
        </w:rPr>
        <w:footnoteReference w:id="15"/>
      </w:r>
      <w:r w:rsidR="00443B6A">
        <w:t xml:space="preserve"> </w:t>
      </w:r>
    </w:p>
    <w:p w14:paraId="722912B2" w14:textId="05646648" w:rsidR="00F0231E" w:rsidRPr="002D15FF" w:rsidRDefault="00F0231E" w:rsidP="008A4FA9">
      <w:pPr>
        <w:pStyle w:val="belscm2"/>
      </w:pPr>
      <w:r w:rsidRPr="002D15FF">
        <w:t xml:space="preserve">A közigazgatási </w:t>
      </w:r>
      <w:r>
        <w:t>bíráskodás</w:t>
      </w:r>
      <w:r w:rsidRPr="002D15FF">
        <w:t xml:space="preserve"> </w:t>
      </w:r>
      <w:r w:rsidR="00F1239F">
        <w:t xml:space="preserve">rövid </w:t>
      </w:r>
      <w:r w:rsidRPr="009B097E">
        <w:t>magyarországi története</w:t>
      </w:r>
    </w:p>
    <w:p w14:paraId="4EA13461" w14:textId="28CB5777" w:rsidR="005968DB" w:rsidRDefault="004C16D3" w:rsidP="005968DB">
      <w:pPr>
        <w:pStyle w:val="fszveg"/>
      </w:pPr>
      <w:r>
        <w:t>[</w:t>
      </w:r>
      <w:r w:rsidR="00E56589">
        <w:t>1</w:t>
      </w:r>
      <w:r w:rsidR="005378AA">
        <w:t>3</w:t>
      </w:r>
      <w:r>
        <w:t xml:space="preserve">] </w:t>
      </w:r>
      <w:r w:rsidR="00675E20">
        <w:t>Közigazgatási bírósági jogvédelemről csak attól az időponttól kezdve beszélhetünk, amikor a közigazgatás és az igazságszolgáltatás elválik egymástól</w:t>
      </w:r>
      <w:r w:rsidR="00A50CDB">
        <w:t>,</w:t>
      </w:r>
      <w:r w:rsidR="00675E20">
        <w:rPr>
          <w:rStyle w:val="Lbjegyzet-hivatkozs"/>
        </w:rPr>
        <w:footnoteReference w:id="16"/>
      </w:r>
      <w:r w:rsidR="00A50CDB">
        <w:t xml:space="preserve"> s a közigazgatási bráskodás hazai története is itt indul valójában.</w:t>
      </w:r>
      <w:bookmarkStart w:id="5" w:name="_Ref107330781"/>
      <w:r w:rsidR="00A50CDB">
        <w:rPr>
          <w:rStyle w:val="Lbjegyzet-hivatkozs"/>
        </w:rPr>
        <w:footnoteReference w:id="17"/>
      </w:r>
      <w:bookmarkEnd w:id="5"/>
      <w:r w:rsidR="00675E20">
        <w:t xml:space="preserve"> Az 1869: I. törvény a bírói hatalomról mérföldkő volt a közigazgatással szembeni bírói jogvédelem kialakulásában. </w:t>
      </w:r>
      <w:r w:rsidR="00273E20">
        <w:t>Ekkor</w:t>
      </w:r>
      <w:r w:rsidR="00675E20">
        <w:t xml:space="preserve"> a közigazgatási szervektől elvettek minden, a polgári jog és a büntetőjog területére tartozó ítélkezési jogkört</w:t>
      </w:r>
      <w:r w:rsidR="00273E20">
        <w:t>, s e</w:t>
      </w:r>
      <w:r w:rsidR="00675E20">
        <w:t xml:space="preserve">z a változás szabad utat adott a közigazgatási bíráskodás kérdésének is. </w:t>
      </w:r>
      <w:r w:rsidR="007E6F9F">
        <w:t>A</w:t>
      </w:r>
      <w:r w:rsidR="00F0231E">
        <w:t xml:space="preserve"> közigazgatás és a bíróságok különválasztásával egyidejűleg </w:t>
      </w:r>
      <w:r w:rsidR="004D65CE">
        <w:t xml:space="preserve">– </w:t>
      </w:r>
      <w:r w:rsidR="00F0231E">
        <w:t>sőt, már azt megelőzően is</w:t>
      </w:r>
      <w:r w:rsidR="00FF5D25">
        <w:rPr>
          <w:rStyle w:val="Lbjegyzet-hivatkozs"/>
        </w:rPr>
        <w:footnoteReference w:id="18"/>
      </w:r>
      <w:r w:rsidR="004D65CE">
        <w:t xml:space="preserve"> –</w:t>
      </w:r>
      <w:r w:rsidR="00F0231E">
        <w:t xml:space="preserve"> felmerült a közigazgatási bíráskodás kérdése,</w:t>
      </w:r>
      <w:bookmarkStart w:id="6" w:name="_Ref393200094"/>
      <w:r w:rsidR="00B16D9C" w:rsidRPr="00B16D9C">
        <w:rPr>
          <w:rStyle w:val="Cmsor7Char"/>
          <w:rFonts w:eastAsiaTheme="minorHAnsi"/>
          <w:lang w:eastAsia="en-US"/>
        </w:rPr>
        <w:t xml:space="preserve"> </w:t>
      </w:r>
      <w:bookmarkEnd w:id="6"/>
      <w:r w:rsidR="00F0231E">
        <w:t>és az angol, francia, német megoldások vizsgálatával megindult a gondolkodás arról, hogy Magyarországon milyen közigazgatási bíráskodás legyen.</w:t>
      </w:r>
      <w:r w:rsidR="002E00A7">
        <w:rPr>
          <w:rStyle w:val="Lbjegyzet-hivatkozs"/>
        </w:rPr>
        <w:footnoteReference w:id="19"/>
      </w:r>
      <w:r w:rsidR="00F0231E">
        <w:t xml:space="preserve"> </w:t>
      </w:r>
      <w:r w:rsidR="005968DB" w:rsidRPr="007E6F9F">
        <w:rPr>
          <w:szCs w:val="18"/>
        </w:rPr>
        <w:t>A tudományos életben az 1877-es év jel</w:t>
      </w:r>
      <w:r w:rsidR="005968DB">
        <w:rPr>
          <w:szCs w:val="18"/>
        </w:rPr>
        <w:t>enti</w:t>
      </w:r>
      <w:r w:rsidR="005968DB" w:rsidRPr="007E6F9F">
        <w:rPr>
          <w:szCs w:val="18"/>
        </w:rPr>
        <w:t xml:space="preserve"> a közigazgatási bíráskodás témájával </w:t>
      </w:r>
      <w:r w:rsidR="005968DB">
        <w:rPr>
          <w:szCs w:val="18"/>
        </w:rPr>
        <w:t>való tudományos foglalatosság</w:t>
      </w:r>
      <w:r w:rsidR="005968DB" w:rsidRPr="007E6F9F">
        <w:rPr>
          <w:szCs w:val="18"/>
        </w:rPr>
        <w:t xml:space="preserve"> kezdetét. Ebben az évben jelent meg Concha Győző monográfiája</w:t>
      </w:r>
      <w:r w:rsidR="005968DB">
        <w:rPr>
          <w:szCs w:val="18"/>
        </w:rPr>
        <w:t xml:space="preserve">, amelynek </w:t>
      </w:r>
      <w:r w:rsidR="005968DB" w:rsidRPr="007E6F9F">
        <w:rPr>
          <w:szCs w:val="18"/>
        </w:rPr>
        <w:t>címe is a közigazgatási bíráskodás kettős logikájára</w:t>
      </w:r>
      <w:r w:rsidR="005968DB">
        <w:rPr>
          <w:szCs w:val="18"/>
        </w:rPr>
        <w:t>, rendeltetésére</w:t>
      </w:r>
      <w:r w:rsidR="005968DB" w:rsidRPr="007E6F9F">
        <w:rPr>
          <w:szCs w:val="18"/>
        </w:rPr>
        <w:t xml:space="preserve"> utal, </w:t>
      </w:r>
      <w:r w:rsidR="005968DB">
        <w:rPr>
          <w:szCs w:val="18"/>
        </w:rPr>
        <w:t>azaz, hogy</w:t>
      </w:r>
      <w:r w:rsidR="005968DB" w:rsidRPr="007E6F9F">
        <w:rPr>
          <w:szCs w:val="18"/>
        </w:rPr>
        <w:t xml:space="preserve"> a közigazgatási bíráskodásnak egyszerre kell </w:t>
      </w:r>
      <w:r w:rsidR="005968DB">
        <w:rPr>
          <w:szCs w:val="18"/>
        </w:rPr>
        <w:t xml:space="preserve">a hatallommegosztás elvét érvényre juttatnia </w:t>
      </w:r>
      <w:r w:rsidR="005968DB" w:rsidRPr="007E6F9F">
        <w:rPr>
          <w:szCs w:val="18"/>
        </w:rPr>
        <w:t xml:space="preserve">és </w:t>
      </w:r>
      <w:r w:rsidR="005968DB">
        <w:rPr>
          <w:szCs w:val="18"/>
        </w:rPr>
        <w:t>alanyi</w:t>
      </w:r>
      <w:r w:rsidR="005968DB" w:rsidRPr="007E6F9F">
        <w:rPr>
          <w:szCs w:val="18"/>
        </w:rPr>
        <w:t xml:space="preserve"> </w:t>
      </w:r>
      <w:r w:rsidR="005968DB">
        <w:rPr>
          <w:szCs w:val="18"/>
        </w:rPr>
        <w:t>jogvédelmet nyújtania</w:t>
      </w:r>
      <w:r w:rsidR="005968DB" w:rsidRPr="007E6F9F">
        <w:rPr>
          <w:szCs w:val="18"/>
        </w:rPr>
        <w:t>.</w:t>
      </w:r>
      <w:r w:rsidR="008A4FA9">
        <w:rPr>
          <w:rStyle w:val="Lbjegyzet-hivatkozs"/>
          <w:rFonts w:eastAsia="Calibri"/>
          <w:szCs w:val="18"/>
        </w:rPr>
        <w:footnoteReference w:id="20"/>
      </w:r>
      <w:r w:rsidR="00F0231E" w:rsidRPr="00A3355F">
        <w:rPr>
          <w:rFonts w:eastAsia="Calibri"/>
          <w:szCs w:val="18"/>
        </w:rPr>
        <w:t xml:space="preserve"> </w:t>
      </w:r>
      <w:r w:rsidR="00F0231E">
        <w:t>E</w:t>
      </w:r>
      <w:r w:rsidR="00F0231E" w:rsidRPr="00A3355F">
        <w:t xml:space="preserve">zt követte Gruber Lajos szintén összehasonlító </w:t>
      </w:r>
      <w:r w:rsidR="00F0231E">
        <w:t>monográfiája,</w:t>
      </w:r>
      <w:r w:rsidR="00093EFD">
        <w:rPr>
          <w:rStyle w:val="Lbjegyzet-hivatkozs"/>
          <w:rFonts w:eastAsiaTheme="minorHAnsi"/>
          <w:lang w:eastAsia="en-US"/>
        </w:rPr>
        <w:footnoteReference w:id="21"/>
      </w:r>
      <w:r w:rsidR="00F0231E">
        <w:t xml:space="preserve"> </w:t>
      </w:r>
      <w:r w:rsidR="00F0231E" w:rsidRPr="00A3355F">
        <w:t>majd élénk vita bontakozott ki a szakirodalomban az elmélet és a gyakorlat jeles képviselőinek részvételével,</w:t>
      </w:r>
      <w:r w:rsidR="00093EFD" w:rsidRPr="00A97896">
        <w:rPr>
          <w:rStyle w:val="Lbjegyzet-hivatkozs"/>
          <w:rFonts w:eastAsiaTheme="minorHAnsi"/>
          <w:lang w:eastAsia="en-US"/>
        </w:rPr>
        <w:footnoteReference w:id="22"/>
      </w:r>
      <w:r w:rsidR="00F0231E" w:rsidRPr="00A3355F">
        <w:t xml:space="preserve"> am</w:t>
      </w:r>
      <w:r w:rsidR="00533859">
        <w:t>i</w:t>
      </w:r>
      <w:r w:rsidR="00F0231E" w:rsidRPr="00A3355F">
        <w:t xml:space="preserve"> újabb és újabb tervezeteket eredményezett.</w:t>
      </w:r>
      <w:bookmarkStart w:id="7" w:name="_Ref105675559"/>
      <w:r w:rsidR="00093EFD">
        <w:rPr>
          <w:rStyle w:val="Lbjegyzet-hivatkozs"/>
          <w:rFonts w:eastAsiaTheme="minorHAnsi"/>
          <w:lang w:eastAsia="en-US"/>
        </w:rPr>
        <w:footnoteReference w:id="23"/>
      </w:r>
      <w:bookmarkEnd w:id="7"/>
      <w:r w:rsidR="0080511F">
        <w:t xml:space="preserve"> </w:t>
      </w:r>
    </w:p>
    <w:p w14:paraId="58D2D3C8" w14:textId="32AFFD10" w:rsidR="00CC0E3F" w:rsidRDefault="005968DB" w:rsidP="005968DB">
      <w:pPr>
        <w:pStyle w:val="fszveg"/>
      </w:pPr>
      <w:r>
        <w:t xml:space="preserve">[14] </w:t>
      </w:r>
      <w:r w:rsidR="00F0231E">
        <w:t>Nagyon hosszas előkészítést követően, uralkodói nyomásra 1883-ban először a pénzügyi bíráskodás szervezetét és eljárásrendjét alakították ki,</w:t>
      </w:r>
      <w:r w:rsidR="001F3A3D">
        <w:rPr>
          <w:rStyle w:val="Lbjegyzet-hivatkozs"/>
        </w:rPr>
        <w:footnoteReference w:id="24"/>
      </w:r>
      <w:r w:rsidR="001F3A3D" w:rsidRPr="001F3A3D">
        <w:rPr>
          <w:rStyle w:val="Lbjegyzet-hivatkozs"/>
          <w:rFonts w:eastAsiaTheme="minorHAnsi"/>
          <w:lang w:eastAsia="en-US"/>
        </w:rPr>
        <w:t xml:space="preserve"> </w:t>
      </w:r>
      <w:r w:rsidR="00F0231E">
        <w:t xml:space="preserve">majd ezt fejlesztette tovább a jogalkotó általános közigazgatási bíráskodássá. Ami a </w:t>
      </w:r>
      <w:r w:rsidR="00F0231E" w:rsidRPr="00626AA1">
        <w:t>perjogi szabályokat illeti, azokat is a közigazgatási bíráskodásról szóló 1896. évi XXVI. tc. tartalmazta a szervezeti</w:t>
      </w:r>
      <w:r w:rsidR="00F0231E">
        <w:t xml:space="preserve"> szabályok mellett. Nemcsak szervezetileg, de eljárásjogilag is igen sajátos, vegyes rendszer alakult ki: általános megváltoztatási jogkört gyakorolva</w:t>
      </w:r>
      <w:r w:rsidR="00626AA1">
        <w:t>,</w:t>
      </w:r>
      <w:r w:rsidR="00F0231E">
        <w:t xml:space="preserve"> tehát igen erős döntési jogosultságokkal felruházva</w:t>
      </w:r>
      <w:r w:rsidR="00626AA1">
        <w:t xml:space="preserve"> </w:t>
      </w:r>
      <w:r w:rsidR="00F0231E">
        <w:t>járt el az egyetlen</w:t>
      </w:r>
      <w:r w:rsidR="00A91960">
        <w:rPr>
          <w:rStyle w:val="Lbjegyzet-hivatkozs"/>
        </w:rPr>
        <w:footnoteReference w:id="25"/>
      </w:r>
      <w:r w:rsidR="00F0231E">
        <w:t xml:space="preserve"> fórum, a Magyar Királyi Közigazgatási Bíróság.</w:t>
      </w:r>
      <w:bookmarkStart w:id="8" w:name="_Ref105675650"/>
      <w:r w:rsidR="001F3A3D">
        <w:rPr>
          <w:rStyle w:val="Lbjegyzet-hivatkozs"/>
        </w:rPr>
        <w:footnoteReference w:id="26"/>
      </w:r>
      <w:bookmarkEnd w:id="8"/>
      <w:r w:rsidR="00F0231E">
        <w:t xml:space="preserve"> E</w:t>
      </w:r>
      <w:r w:rsidR="00626AA1">
        <w:t xml:space="preserve"> rendszert </w:t>
      </w:r>
      <w:r w:rsidR="00F0231E">
        <w:t xml:space="preserve">vegyes, részben </w:t>
      </w:r>
      <w:r w:rsidR="00626AA1">
        <w:t xml:space="preserve">– </w:t>
      </w:r>
      <w:r w:rsidR="00F0231E">
        <w:t>osztrák</w:t>
      </w:r>
      <w:r w:rsidR="004C16D3">
        <w:t xml:space="preserve"> közvetítéssel </w:t>
      </w:r>
      <w:r w:rsidR="00626AA1">
        <w:t xml:space="preserve">– </w:t>
      </w:r>
      <w:r w:rsidR="004C16D3">
        <w:t>a francia</w:t>
      </w:r>
      <w:r w:rsidR="00F0231E">
        <w:t xml:space="preserve">, részben pedig a német modellt követő rendszerként jellemezhetjük, amelyben </w:t>
      </w:r>
      <w:r w:rsidR="004C16D3">
        <w:t>azonban a monista rendszer jellemvonásai is megfigyelhetőek.</w:t>
      </w:r>
      <w:r w:rsidR="001F3A3D">
        <w:rPr>
          <w:rStyle w:val="Lbjegyzet-hivatkozs"/>
        </w:rPr>
        <w:footnoteReference w:id="27"/>
      </w:r>
      <w:r w:rsidR="004C16D3">
        <w:t xml:space="preserve"> </w:t>
      </w:r>
      <w:r w:rsidR="008A4FA9">
        <w:t>A</w:t>
      </w:r>
      <w:r w:rsidR="00F0231E">
        <w:t xml:space="preserve"> bírói utat taxációval, zárt felsorolással </w:t>
      </w:r>
      <w:r w:rsidR="00FE7F88">
        <w:t>szabályozták</w:t>
      </w:r>
      <w:r w:rsidR="008A4FA9">
        <w:t>, amely megoldás</w:t>
      </w:r>
      <w:r w:rsidR="00F0231E">
        <w:t xml:space="preserve"> már az elfogadáskor előrevetítette a rendszer működési problémá</w:t>
      </w:r>
      <w:r w:rsidR="001F3A3D">
        <w:t>i</w:t>
      </w:r>
      <w:r w:rsidR="00F0231E">
        <w:t>t: a túlterheltséget, s az ezzel járó elhúzódó eljárásokat egyfelől, másfelől pedig a közigazgatási ügytípusok szakadatlan növekedésével párhuzamosan a hatásköri szabályok folyamatos módosításának szükségességét.</w:t>
      </w:r>
      <w:r w:rsidR="004C16D3">
        <w:rPr>
          <w:rStyle w:val="Lbjegyzet-hivatkozs"/>
        </w:rPr>
        <w:footnoteReference w:id="28"/>
      </w:r>
      <w:r w:rsidR="00F0231E">
        <w:t xml:space="preserve"> </w:t>
      </w:r>
      <w:r w:rsidR="00CC0E3F">
        <w:t>Az 1896:XXVI. törvény</w:t>
      </w:r>
      <w:r w:rsidR="00ED418F">
        <w:t>cikk nemcsak a</w:t>
      </w:r>
      <w:r w:rsidR="00627E98">
        <w:t xml:space="preserve"> bírósági szervezetet</w:t>
      </w:r>
      <w:r w:rsidR="00EE437D">
        <w:t xml:space="preserve"> (I. Rész)</w:t>
      </w:r>
      <w:r w:rsidR="00627E98">
        <w:t xml:space="preserve">, hanem a </w:t>
      </w:r>
      <w:r w:rsidR="00301411">
        <w:t xml:space="preserve">bírói </w:t>
      </w:r>
      <w:r w:rsidR="00D8393C">
        <w:t>út terjedelmé</w:t>
      </w:r>
      <w:r w:rsidR="00301411">
        <w:t>t (a</w:t>
      </w:r>
      <w:r w:rsidR="00D8393C">
        <w:t xml:space="preserve"> megtámadható aktusokat</w:t>
      </w:r>
      <w:r w:rsidR="00EE437D">
        <w:t xml:space="preserve"> a II. Részben</w:t>
      </w:r>
      <w:r w:rsidR="00D8393C">
        <w:t xml:space="preserve">) és </w:t>
      </w:r>
      <w:r w:rsidR="00EE437D">
        <w:t>a</w:t>
      </w:r>
      <w:r w:rsidR="00D8393C">
        <w:t xml:space="preserve"> </w:t>
      </w:r>
      <w:r w:rsidR="00627E98">
        <w:t>bíróság eljárás</w:t>
      </w:r>
      <w:r w:rsidR="00EE437D">
        <w:t>á</w:t>
      </w:r>
      <w:r w:rsidR="00627E98">
        <w:t>t</w:t>
      </w:r>
      <w:r w:rsidR="00EE437D">
        <w:t xml:space="preserve"> (III. Rész)</w:t>
      </w:r>
      <w:r w:rsidR="00627E98">
        <w:t xml:space="preserve"> is </w:t>
      </w:r>
      <w:r w:rsidR="00CC0E3F">
        <w:t>szabályozta</w:t>
      </w:r>
      <w:r w:rsidR="00627E98">
        <w:t xml:space="preserve">. </w:t>
      </w:r>
      <w:r w:rsidR="00CC0E3F">
        <w:t>1907-ben jelentős reformra került sor, amely azonban a rendszer alapvető jellemzőit változatlanul hagyta</w:t>
      </w:r>
      <w:r w:rsidR="00EE437D">
        <w:t>. E</w:t>
      </w:r>
      <w:r w:rsidR="001F232F">
        <w:t xml:space="preserve">kkor </w:t>
      </w:r>
      <w:r w:rsidR="00CC0E3F">
        <w:t xml:space="preserve">hozták </w:t>
      </w:r>
      <w:r w:rsidR="001F232F">
        <w:t xml:space="preserve">létre </w:t>
      </w:r>
      <w:r w:rsidR="00CC0E3F">
        <w:t>a</w:t>
      </w:r>
      <w:r w:rsidR="001F232F">
        <w:t xml:space="preserve"> Hatásköri Bíróságot</w:t>
      </w:r>
      <w:r w:rsidR="00EE437D">
        <w:t xml:space="preserve"> és a</w:t>
      </w:r>
      <w:r w:rsidR="00CC0E3F">
        <w:t xml:space="preserve"> </w:t>
      </w:r>
      <w:r w:rsidR="001F232F">
        <w:t>bírói út terjedelme</w:t>
      </w:r>
      <w:r w:rsidR="00CC0E3F">
        <w:t xml:space="preserve"> </w:t>
      </w:r>
      <w:r w:rsidR="00EE437D">
        <w:t xml:space="preserve">is </w:t>
      </w:r>
      <w:r w:rsidR="00CC0E3F">
        <w:t>némileg bővült</w:t>
      </w:r>
      <w:r w:rsidR="00BB7394">
        <w:t>. A</w:t>
      </w:r>
      <w:r w:rsidR="00CC0E3F">
        <w:t>z önkormányzati szervek</w:t>
      </w:r>
      <w:r w:rsidR="001F232F">
        <w:t xml:space="preserve"> </w:t>
      </w:r>
      <w:r w:rsidR="00CC0E3F">
        <w:t>keresetindítási jogot</w:t>
      </w:r>
      <w:r w:rsidR="001F232F">
        <w:t xml:space="preserve"> kaptak</w:t>
      </w:r>
      <w:r w:rsidR="00626D80">
        <w:t>,</w:t>
      </w:r>
      <w:r w:rsidR="00CC0E3F">
        <w:t xml:space="preserve"> </w:t>
      </w:r>
      <w:r w:rsidR="00BB7394">
        <w:t xml:space="preserve">akár </w:t>
      </w:r>
      <w:r w:rsidR="00CC0E3F">
        <w:t>normakontroll-eljárás</w:t>
      </w:r>
      <w:r w:rsidR="00BB7394">
        <w:t>oka</w:t>
      </w:r>
      <w:r w:rsidR="000F4CCE">
        <w:t>t is indíthattak</w:t>
      </w:r>
      <w:r w:rsidR="00BB7394">
        <w:t xml:space="preserve"> a kormány(zati szervek) egyes aktusai ellen autonómiájuk védelme érdekében</w:t>
      </w:r>
      <w:r w:rsidR="00CC0E3F">
        <w:t xml:space="preserve">. 1925-ben </w:t>
      </w:r>
      <w:r w:rsidR="000F4CCE">
        <w:t xml:space="preserve">a </w:t>
      </w:r>
      <w:r w:rsidR="00CC0E3F">
        <w:t>választójogi jogviták</w:t>
      </w:r>
      <w:r w:rsidR="000F4CCE">
        <w:t xml:space="preserve">ra is hatáskört </w:t>
      </w:r>
      <w:r w:rsidR="00CC0E3F">
        <w:t>kapott</w:t>
      </w:r>
      <w:r w:rsidR="000F4CCE">
        <w:t xml:space="preserve"> a MKKB</w:t>
      </w:r>
      <w:r w:rsidR="00CC0E3F">
        <w:t>.</w:t>
      </w:r>
      <w:r w:rsidR="003D4AF5">
        <w:t xml:space="preserve"> Már a</w:t>
      </w:r>
      <w:r w:rsidR="00CC0E3F">
        <w:t xml:space="preserve"> második világháború alatt megkezdődött </w:t>
      </w:r>
      <w:r w:rsidR="00592B91">
        <w:t>az MKKB</w:t>
      </w:r>
      <w:r w:rsidR="00CC0E3F">
        <w:t xml:space="preserve"> hatáskör</w:t>
      </w:r>
      <w:r w:rsidR="003D4AF5">
        <w:t>ei</w:t>
      </w:r>
      <w:r w:rsidR="00CC0E3F">
        <w:t xml:space="preserve">nek fokozatos szűkítése, </w:t>
      </w:r>
      <w:r w:rsidR="00592B91">
        <w:t>s e</w:t>
      </w:r>
      <w:r w:rsidR="00CC0E3F">
        <w:t xml:space="preserve"> fejleményekkel szemben a</w:t>
      </w:r>
      <w:r w:rsidR="00592B91">
        <w:t>z</w:t>
      </w:r>
      <w:r w:rsidR="00CC0E3F">
        <w:t xml:space="preserve"> hiába próbálta magát alkotmánybíróságként pozícionálni. A közigazgatási bíráskodás </w:t>
      </w:r>
      <w:r w:rsidR="00301411">
        <w:t>megszüntet</w:t>
      </w:r>
      <w:r w:rsidR="00CC0E3F">
        <w:t>ésé</w:t>
      </w:r>
      <w:r w:rsidR="00301411">
        <w:t>re</w:t>
      </w:r>
      <w:r w:rsidR="00CC0E3F">
        <w:t xml:space="preserve"> végül az 1949. évi </w:t>
      </w:r>
      <w:r w:rsidR="00301411">
        <w:t xml:space="preserve">II. </w:t>
      </w:r>
      <w:r w:rsidR="00CC0E3F">
        <w:t>törvén</w:t>
      </w:r>
      <w:r w:rsidR="00301411">
        <w:t>n</w:t>
      </w:r>
      <w:r w:rsidR="00CC0E3F">
        <w:t>y</w:t>
      </w:r>
      <w:r w:rsidR="00301411">
        <w:t>el került sor</w:t>
      </w:r>
      <w:r w:rsidR="00CC0E3F">
        <w:t xml:space="preserve">. </w:t>
      </w:r>
    </w:p>
    <w:p w14:paraId="609BA488" w14:textId="4EC48497" w:rsidR="00F02326" w:rsidRDefault="004C16D3" w:rsidP="00F1239F">
      <w:pPr>
        <w:pStyle w:val="fszveg"/>
        <w:ind w:firstLine="708"/>
      </w:pPr>
      <w:r>
        <w:t>[1</w:t>
      </w:r>
      <w:r w:rsidR="005968DB">
        <w:t>5</w:t>
      </w:r>
      <w:r>
        <w:t xml:space="preserve">] </w:t>
      </w:r>
      <w:r w:rsidR="00F0231E">
        <w:t xml:space="preserve">A </w:t>
      </w:r>
      <w:r w:rsidR="00546403">
        <w:t xml:space="preserve">Magyar Királyi </w:t>
      </w:r>
      <w:r w:rsidR="00F0231E">
        <w:t>Közigazgatási Bíróság 1949-ben történt megszüntetését követően a „közigazgatási bíráskodás” a polgári bíráskodás keretein belül, rendkívül szűk körben létezett tovább. A közigazgatási eljárásokat szabályozó, 1957-ben elfogadott és hatályba lépett eljárási törvény (Et.) intézményesítette újra törvényi szinten az államigazgatási határozatok bíróság előtti megtámadhatóságát</w:t>
      </w:r>
      <w:r w:rsidR="00656002">
        <w:t>,</w:t>
      </w:r>
      <w:r w:rsidR="00F0231E">
        <w:t xml:space="preserve"> mint </w:t>
      </w:r>
      <w:r w:rsidR="00626AA1">
        <w:t xml:space="preserve">a hatósági eljárásjog </w:t>
      </w:r>
      <w:r w:rsidR="00F0231E">
        <w:t>rendkívüli jogorvoslati formá</w:t>
      </w:r>
      <w:r w:rsidR="00626AA1">
        <w:t>já</w:t>
      </w:r>
      <w:r w:rsidR="00F0231E">
        <w:t>t. Ez azonban kizárólag elvi lehetőséget jelentett a bírói úton történő jogorvoslásra, hiszen e rendelkezés tényleges alkalmazását csak a határozatok rendkívül szűk – s kevéssé lényeges – taxatíve meghatározott körében, öt ügycsoportban tette lehetővé a törvény. Így a polgári jogi (elsősorban kártérítési) perek jelentős másodlagos jogvédelmi funkcióra tettek szert egyes ügycsoportokban.</w:t>
      </w:r>
      <w:r w:rsidR="00656002">
        <w:rPr>
          <w:rStyle w:val="Lbjegyzet-hivatkozs"/>
        </w:rPr>
        <w:footnoteReference w:id="29"/>
      </w:r>
      <w:r w:rsidR="00F0231E">
        <w:t xml:space="preserve"> A közigazgatási bíráskodás eljárási szabályozása terén a polgári perrendtartásról szóló 1952. évi III. törvény (a továbbiakban: régi Pp.) 1973-tól hatályos, az 1972. évi XXVI. törvénnyel történt módosítása jelentős lépésnek tekinthető, hiszen e módosítá</w:t>
      </w:r>
      <w:r w:rsidR="00F0231E" w:rsidRPr="004C16D3">
        <w:t>s építette be az államigazgatási határozatok bíróság előtti megtámadásának peres szabályait a régi Pp. XX. fejezet</w:t>
      </w:r>
      <w:r w:rsidR="0063182E">
        <w:t>eként</w:t>
      </w:r>
      <w:r w:rsidR="00F0231E" w:rsidRPr="004C16D3">
        <w:t xml:space="preserve">. </w:t>
      </w:r>
      <w:r w:rsidR="000A7628">
        <w:t xml:space="preserve">Számos </w:t>
      </w:r>
      <w:r w:rsidR="000C1C1C">
        <w:t xml:space="preserve">fontos szabály (a </w:t>
      </w:r>
      <w:r w:rsidR="00D5507D">
        <w:t>keresetlevél benyújtása</w:t>
      </w:r>
      <w:r w:rsidR="000C1C1C">
        <w:t>, keresetindítási jogosultság, döntési jogkör</w:t>
      </w:r>
      <w:r w:rsidR="00D5507D">
        <w:t>,</w:t>
      </w:r>
      <w:r w:rsidR="000C1C1C">
        <w:t xml:space="preserve"> stb.) a közigazgatási eljárási törvényben </w:t>
      </w:r>
      <w:r w:rsidR="00F754C6">
        <w:t xml:space="preserve">(Et.) </w:t>
      </w:r>
      <w:r w:rsidR="000C1C1C">
        <w:t>maradt.</w:t>
      </w:r>
      <w:r w:rsidR="00F754C6">
        <w:t xml:space="preserve"> </w:t>
      </w:r>
      <w:r w:rsidR="00F0231E" w:rsidRPr="004C16D3">
        <w:t>Az államigazgatási eljárás általános szabályairól szóló 1981. évi I. törvény (Áe.) hatálybalépéséről és egyes jogszabályok módosításáról szóló 1981. évi 25. tvr. módosította aztán a közigazgatási perek részletes eljárási szabályait, s párhuzamosan hatályba lépett az Áe. felhatalmazása alapján kiadott 63/1981. (XII. 5.) MT rendelet, amely a bíróság által felülvizsgálható határozatok körét sorolta fel.</w:t>
      </w:r>
      <w:r w:rsidR="00D31C49" w:rsidRPr="00D31C49">
        <w:rPr>
          <w:rStyle w:val="Lbjegyzet-hivatkozs"/>
        </w:rPr>
        <w:t xml:space="preserve"> </w:t>
      </w:r>
      <w:r w:rsidR="00F0231E" w:rsidRPr="004C16D3">
        <w:t xml:space="preserve">Az Áe.-n és a Pp.-n kívül a közigazgatási bíráskodásra vonatkozóan hatásköri szabályokat tartalmazott még a bírósági szervezeti törvény is. </w:t>
      </w:r>
      <w:r w:rsidR="00F02326">
        <w:t>A</w:t>
      </w:r>
      <w:r w:rsidR="00B96707">
        <w:t>z ágazati</w:t>
      </w:r>
      <w:r w:rsidR="00F02326">
        <w:t xml:space="preserve"> </w:t>
      </w:r>
      <w:r w:rsidR="00B96707">
        <w:t>törvények per</w:t>
      </w:r>
      <w:r w:rsidR="00F02326">
        <w:t>jogi normá</w:t>
      </w:r>
      <w:r w:rsidR="00B96707">
        <w:t>i</w:t>
      </w:r>
      <w:r w:rsidR="00F02326">
        <w:t xml:space="preserve"> alkották a közigazgatási per</w:t>
      </w:r>
      <w:r w:rsidR="00A74FBE">
        <w:t>es</w:t>
      </w:r>
      <w:r w:rsidR="00F02326">
        <w:t xml:space="preserve"> szabályok harmadik körét.</w:t>
      </w:r>
      <w:r w:rsidR="001E0445" w:rsidRPr="001E0445">
        <w:rPr>
          <w:rStyle w:val="Lbjegyzet-hivatkozs"/>
        </w:rPr>
        <w:t xml:space="preserve"> </w:t>
      </w:r>
      <w:r w:rsidR="001E0445">
        <w:rPr>
          <w:rStyle w:val="Lbjegyzet-hivatkozs"/>
        </w:rPr>
        <w:footnoteReference w:id="30"/>
      </w:r>
    </w:p>
    <w:p w14:paraId="2C1FF08B" w14:textId="56B71F31" w:rsidR="00F0231E" w:rsidRPr="000512AA" w:rsidRDefault="00351671" w:rsidP="007D0FD5">
      <w:pPr>
        <w:pStyle w:val="fszveg"/>
      </w:pPr>
      <w:r>
        <w:t>[1</w:t>
      </w:r>
      <w:r w:rsidR="005968DB">
        <w:t>6</w:t>
      </w:r>
      <w:r>
        <w:t xml:space="preserve">] </w:t>
      </w:r>
      <w:r w:rsidR="00F02326">
        <w:t xml:space="preserve">A demokratikus fordulat alkalmával </w:t>
      </w:r>
      <w:r w:rsidR="00624A94">
        <w:t xml:space="preserve">a politikai színtéren </w:t>
      </w:r>
      <w:r w:rsidR="00F02326">
        <w:t xml:space="preserve">nem </w:t>
      </w:r>
      <w:r w:rsidR="00C36373">
        <w:t xml:space="preserve">nagyon merült fel </w:t>
      </w:r>
      <w:r w:rsidR="00F02326">
        <w:t>a közigazgatási bíráskodás</w:t>
      </w:r>
      <w:r w:rsidR="00C36373">
        <w:t xml:space="preserve"> </w:t>
      </w:r>
      <w:r w:rsidR="00AA3AA4">
        <w:t>kérdé</w:t>
      </w:r>
      <w:r w:rsidR="00F02326">
        <w:t>s</w:t>
      </w:r>
      <w:r w:rsidR="00AA3AA4">
        <w:t>e</w:t>
      </w:r>
      <w:r w:rsidR="00F02326">
        <w:t xml:space="preserve">. Inkább véletlenül került be az Alkotmány 50. cikkének (2) bekezdésébe az a mondat, hogy </w:t>
      </w:r>
      <w:r w:rsidR="00A179A8">
        <w:t>„</w:t>
      </w:r>
      <w:r w:rsidR="00A179A8" w:rsidRPr="0086220C">
        <w:t>A bíróság ellenőrzi a köz</w:t>
      </w:r>
      <w:r w:rsidR="00A179A8">
        <w:t>i</w:t>
      </w:r>
      <w:r w:rsidR="00A179A8" w:rsidRPr="0086220C">
        <w:t>gazgatási határozatok törvényességét.</w:t>
      </w:r>
      <w:r w:rsidR="00A179A8">
        <w:t>”</w:t>
      </w:r>
      <w:r w:rsidR="00A179A8">
        <w:rPr>
          <w:rStyle w:val="Lbjegyzet-hivatkozs"/>
        </w:rPr>
        <w:footnoteReference w:id="31"/>
      </w:r>
      <w:r w:rsidR="00F02326">
        <w:t xml:space="preserve"> Az Alkotmánybíróság volt az, amely </w:t>
      </w:r>
      <w:r w:rsidR="00D06833">
        <w:t xml:space="preserve">már </w:t>
      </w:r>
      <w:r w:rsidR="00F02326">
        <w:t>1990</w:t>
      </w:r>
      <w:r w:rsidR="00624A94">
        <w:t xml:space="preserve"> végén</w:t>
      </w:r>
      <w:r w:rsidR="00F02326">
        <w:t xml:space="preserve"> </w:t>
      </w:r>
      <w:r w:rsidR="00F0231E" w:rsidRPr="004C16D3">
        <w:t>32/1990. (XII. 23.) AB határozat</w:t>
      </w:r>
      <w:r w:rsidR="004C16D3" w:rsidRPr="004C16D3">
        <w:t>áv</w:t>
      </w:r>
      <w:r w:rsidR="00F0231E" w:rsidRPr="004C16D3">
        <w:t>a</w:t>
      </w:r>
      <w:r w:rsidR="004C16D3" w:rsidRPr="004C16D3">
        <w:t>l</w:t>
      </w:r>
      <w:r w:rsidR="00F0231E" w:rsidRPr="004C16D3">
        <w:t xml:space="preserve"> </w:t>
      </w:r>
      <w:r w:rsidR="00624A94" w:rsidRPr="004C16D3">
        <w:t xml:space="preserve">a közigazgatási bírói út nem megfelelő biztosítása miatt </w:t>
      </w:r>
      <w:r w:rsidR="00624A94">
        <w:t xml:space="preserve">egyrészt </w:t>
      </w:r>
      <w:r w:rsidR="00F0231E" w:rsidRPr="004C16D3">
        <w:t xml:space="preserve">az MT rendeletet megsemmisítette, </w:t>
      </w:r>
      <w:r w:rsidR="00624A94">
        <w:t>má</w:t>
      </w:r>
      <w:r w:rsidR="00F0231E" w:rsidRPr="004C16D3">
        <w:t>s</w:t>
      </w:r>
      <w:r w:rsidR="00624A94">
        <w:t>részt</w:t>
      </w:r>
      <w:r w:rsidR="00F0231E" w:rsidRPr="004C16D3">
        <w:t xml:space="preserve"> mulasztásban megnyilvánuló alkotmányellenességet állapított meg. </w:t>
      </w:r>
      <w:r w:rsidR="00D31C49">
        <w:t>Noha a szakirodalom ekkor már érdeklődéssel fordult a téma felé</w:t>
      </w:r>
      <w:bookmarkStart w:id="9" w:name="_Ref400363262"/>
      <w:bookmarkStart w:id="10" w:name="_Ref400713271"/>
      <w:r w:rsidR="00D31C49">
        <w:t xml:space="preserve"> és jogösszehasonlító vizsgálatok alapján megoldási javaslatokat is felvázolt,</w:t>
      </w:r>
      <w:r w:rsidR="00D31C49" w:rsidRPr="002206C6">
        <w:rPr>
          <w:rStyle w:val="Lbjegyzet-hivatkozs"/>
        </w:rPr>
        <w:footnoteReference w:id="32"/>
      </w:r>
      <w:bookmarkEnd w:id="9"/>
      <w:bookmarkEnd w:id="10"/>
      <w:r w:rsidR="00D31C49">
        <w:t xml:space="preserve"> a</w:t>
      </w:r>
      <w:r w:rsidR="004C16D3" w:rsidRPr="004C16D3">
        <w:t xml:space="preserve"> </w:t>
      </w:r>
      <w:r w:rsidR="00D31C49">
        <w:t xml:space="preserve">jogalkotó a </w:t>
      </w:r>
      <w:r w:rsidR="004C16D3" w:rsidRPr="004C16D3">
        <w:t xml:space="preserve">rövid határidő miatt egyszerűen a Pp. és az Áe. módosításával szélesítette ki </w:t>
      </w:r>
      <w:r w:rsidR="00D31C49">
        <w:t xml:space="preserve">– ismét ideiglenesen – </w:t>
      </w:r>
      <w:r w:rsidR="004C16D3" w:rsidRPr="004C16D3">
        <w:t xml:space="preserve">a közigazgatási bírósági utat 1991-ben, </w:t>
      </w:r>
      <w:r w:rsidR="00D31C49">
        <w:t>és tette</w:t>
      </w:r>
      <w:r w:rsidR="004C16D3" w:rsidRPr="004C16D3">
        <w:t xml:space="preserve"> a</w:t>
      </w:r>
      <w:r w:rsidR="00F0231E" w:rsidRPr="004C16D3">
        <w:t>z</w:t>
      </w:r>
      <w:r w:rsidR="00D31C49">
        <w:t>t</w:t>
      </w:r>
      <w:r w:rsidR="00F0231E" w:rsidRPr="004C16D3">
        <w:t xml:space="preserve"> </w:t>
      </w:r>
      <w:r w:rsidR="00D31C49">
        <w:t xml:space="preserve">az </w:t>
      </w:r>
      <w:r w:rsidR="00F0231E" w:rsidRPr="004C16D3">
        <w:t>1991. évi XXVI. törvén</w:t>
      </w:r>
      <w:r w:rsidR="00D31C49">
        <w:t>n</w:t>
      </w:r>
      <w:r w:rsidR="00F0231E" w:rsidRPr="004C16D3">
        <w:t>y</w:t>
      </w:r>
      <w:r w:rsidR="00D31C49">
        <w:t>el</w:t>
      </w:r>
      <w:r w:rsidR="00F0231E" w:rsidRPr="004C16D3">
        <w:t xml:space="preserve"> általános</w:t>
      </w:r>
      <w:r w:rsidR="00D31C49">
        <w:t xml:space="preserve">sá </w:t>
      </w:r>
      <w:r w:rsidR="004C16D3" w:rsidRPr="004C16D3">
        <w:t>a</w:t>
      </w:r>
      <w:r w:rsidR="00F0231E" w:rsidRPr="004C16D3">
        <w:t xml:space="preserve"> hatósági ügyekben. Emellett lehetővé</w:t>
      </w:r>
      <w:r w:rsidR="004C16D3" w:rsidRPr="004C16D3">
        <w:t xml:space="preserve"> vált</w:t>
      </w:r>
      <w:r w:rsidR="00F0231E" w:rsidRPr="004C16D3">
        <w:t xml:space="preserve"> a törvényességi ellenőrzési (</w:t>
      </w:r>
      <w:r w:rsidR="00624A94">
        <w:t>jelenleg</w:t>
      </w:r>
      <w:r w:rsidR="00F0231E" w:rsidRPr="004C16D3">
        <w:t xml:space="preserve"> felügyeleti) szerv számára az önkormányzat nem hatósági határozataival szemben a bírósághoz fordulás. Minden egyéb esetben külön törvényi felhatalmazás alapján volt csak lehetőség a közigazgatási bírói út igénybevételére, tehát tágabb, de még mindig alapvetően taxációra épülő rendszer érvényesült. </w:t>
      </w:r>
      <w:r w:rsidR="004C16D3" w:rsidRPr="004C16D3">
        <w:t>Ez a</w:t>
      </w:r>
      <w:r w:rsidR="00F0231E">
        <w:t xml:space="preserve">z ideiglenesnek szánt megoldás perjogi szempontból azonban maradandónak bizonyult. A Ket. előkészítéséhez kapcsolódóan merült fel először komolyabban, hogy önálló közigazgatási perrendtartást kellene alkotni, s az igazságügyi tárcánál ehhez kapcsolódó előkészületekre sor </w:t>
      </w:r>
      <w:r w:rsidR="00624A94">
        <w:t xml:space="preserve">is </w:t>
      </w:r>
      <w:r w:rsidR="00F0231E">
        <w:t xml:space="preserve">került. </w:t>
      </w:r>
      <w:r w:rsidR="005378AA">
        <w:t>Mivel a</w:t>
      </w:r>
      <w:r w:rsidR="00F0231E">
        <w:t>zonban a</w:t>
      </w:r>
      <w:r w:rsidR="005378AA">
        <w:t xml:space="preserve"> </w:t>
      </w:r>
      <w:r w:rsidR="00F0231E">
        <w:t>perjogi szakma egyhangúlag tagadta a külön közigazgatási perjog létjogosultságát, jogszabály-inflációtól és a Ket.-tel együtt járó változások hatványozódásától tartott</w:t>
      </w:r>
      <w:r w:rsidR="005378AA">
        <w:t>, csak punktuális perjogi változásokra kerülhetett sor</w:t>
      </w:r>
      <w:r w:rsidR="00F0231E">
        <w:t>.</w:t>
      </w:r>
      <w:r w:rsidR="004C16D3">
        <w:rPr>
          <w:rStyle w:val="Lbjegyzet-hivatkozs"/>
        </w:rPr>
        <w:footnoteReference w:id="33"/>
      </w:r>
      <w:r w:rsidR="005035C0">
        <w:t xml:space="preserve"> </w:t>
      </w:r>
      <w:r w:rsidR="00F0231E">
        <w:t>A közigazgatási perjog önállósulásának kérdése ezt követően kö</w:t>
      </w:r>
      <w:r w:rsidR="00504CD0">
        <w:t>zpo</w:t>
      </w:r>
      <w:r w:rsidR="00F0231E">
        <w:t>litikai szinten egészen a polgári perjog rekodifikációjának előkészítéséig</w:t>
      </w:r>
      <w:r w:rsidR="005035C0" w:rsidRPr="005035C0">
        <w:t xml:space="preserve"> </w:t>
      </w:r>
      <w:r w:rsidR="005035C0">
        <w:t>nem merült fel</w:t>
      </w:r>
      <w:r w:rsidR="00F0231E">
        <w:t xml:space="preserve">. Végül 2015 januárjában, az új polgári perrendtartás koncepciójának elfogadása kapcsán a Kormány úgy határozott, hogy a közigazgatási perek szabályait az új Pp. már nem fogja tartalmazni, s elrendelte az önálló közigazgatási perrendtartás koncepciójának kidolgozását. </w:t>
      </w:r>
      <w:r w:rsidR="00F0231E" w:rsidRPr="00A3355F">
        <w:t>A közigazgatási perrendtartásról szóló törvény</w:t>
      </w:r>
      <w:r w:rsidR="00F0231E">
        <w:t xml:space="preserve">t a </w:t>
      </w:r>
      <w:r w:rsidR="00F0231E" w:rsidRPr="00A3355F">
        <w:t xml:space="preserve">2017. évi I. törvényként </w:t>
      </w:r>
      <w:r w:rsidR="00F0231E">
        <w:t xml:space="preserve">2017. </w:t>
      </w:r>
      <w:r w:rsidR="00F0231E" w:rsidRPr="00A3355F">
        <w:t>március 1-</w:t>
      </w:r>
      <w:r w:rsidR="00F0231E">
        <w:t>j</w:t>
      </w:r>
      <w:r w:rsidR="00F0231E" w:rsidRPr="00A3355F">
        <w:t xml:space="preserve">én </w:t>
      </w:r>
      <w:r w:rsidR="00F0231E">
        <w:t>hirdették ki</w:t>
      </w:r>
      <w:r w:rsidR="00F0231E" w:rsidRPr="00A3355F">
        <w:t>.</w:t>
      </w:r>
    </w:p>
    <w:p w14:paraId="7D01BB7B" w14:textId="3D65D099" w:rsidR="005378AA" w:rsidRDefault="005035C0" w:rsidP="007D0FD5">
      <w:pPr>
        <w:pStyle w:val="fszveg"/>
      </w:pPr>
      <w:r>
        <w:t>[1</w:t>
      </w:r>
      <w:r w:rsidR="00CB3AEC">
        <w:t>7</w:t>
      </w:r>
      <w:r>
        <w:t xml:space="preserve">] </w:t>
      </w:r>
      <w:r w:rsidR="00F0231E" w:rsidRPr="005660B7">
        <w:t>A Közigazgatási Bíróság 1949-ben történt megszüntetése óta szervezetileg nem működik önálló közigazgatási bíráskodás Magyarországon. A rendszerváltáskor a közigazgatási bíráskodás szervezete annyiban változott, hogy az akkor még Legfelsőbb Bíróságon (ma Kúria) létrejött a közigazgatási kollégium és ezzel a közigazgatási ügyszak. Az alacsonyabb szinteken az 1997. évi igazságügyi reform csak hatásköri változást hozott: a helyi bíróságok helyett a megyei bíróságok (a fővárosban a Fővárosi Bíróság) hatáskörébe került a közigazgatási perekben való eljárás. A másodfokú hatáskö</w:t>
      </w:r>
      <w:r>
        <w:t>r</w:t>
      </w:r>
      <w:r w:rsidR="00F0231E" w:rsidRPr="005660B7">
        <w:t>öket a Fővárosi Ítélőtáblához telepítette a jogalkotó</w:t>
      </w:r>
      <w:r w:rsidR="000912D3">
        <w:t xml:space="preserve"> ekkor, ugyanakkor a fellebbez</w:t>
      </w:r>
      <w:r w:rsidR="00573D10">
        <w:t>é</w:t>
      </w:r>
      <w:r w:rsidR="000912D3">
        <w:t>s lehetőségét drasztikusan csökkentette</w:t>
      </w:r>
      <w:r w:rsidR="00F0231E" w:rsidRPr="005660B7">
        <w:t>.</w:t>
      </w:r>
      <w:r>
        <w:t xml:space="preserve"> </w:t>
      </w:r>
      <w:r w:rsidR="005378AA">
        <w:t xml:space="preserve">A kollégiumok a polgári ügyszakkal együtt kerültek megszervezésre. </w:t>
      </w:r>
      <w:r w:rsidR="006647DD">
        <w:t>A bírósági szervezet kérdése a szakirodalomban az alkotmányozás folyamatához kapcsolódóan újra terítékre került,</w:t>
      </w:r>
      <w:r w:rsidR="006647DD">
        <w:rPr>
          <w:rStyle w:val="Lbjegyzet-hivatkozs"/>
        </w:rPr>
        <w:footnoteReference w:id="34"/>
      </w:r>
      <w:r w:rsidR="006647DD">
        <w:t xml:space="preserve"> de végül önálló közigazgatási bíróságok helyett a</w:t>
      </w:r>
      <w:r w:rsidR="00F0231E" w:rsidRPr="005660B7">
        <w:t xml:space="preserve">z Alaptörvény </w:t>
      </w:r>
      <w:r>
        <w:t>25. cikk</w:t>
      </w:r>
      <w:r w:rsidR="008373D3">
        <w:t xml:space="preserve"> </w:t>
      </w:r>
      <w:r w:rsidR="000F1CF8">
        <w:t xml:space="preserve">– azóta már hatályon kívül helyezett – </w:t>
      </w:r>
      <w:r w:rsidR="008373D3">
        <w:t>(</w:t>
      </w:r>
      <w:r w:rsidR="00212F27">
        <w:t>4</w:t>
      </w:r>
      <w:r w:rsidR="008373D3">
        <w:t xml:space="preserve">) </w:t>
      </w:r>
      <w:r>
        <w:t>bekezdés</w:t>
      </w:r>
      <w:r w:rsidR="00212F27">
        <w:t>ének második mondata</w:t>
      </w:r>
      <w:r>
        <w:t xml:space="preserve"> </w:t>
      </w:r>
      <w:r w:rsidR="006647DD">
        <w:t xml:space="preserve">csak a különbíróságok felállításának lehetőségéről rendelkezett, </w:t>
      </w:r>
      <w:r w:rsidR="00212F27">
        <w:t xml:space="preserve">eredetileg </w:t>
      </w:r>
      <w:r w:rsidR="006647DD">
        <w:t>különösen közigazgatási és munkaügyi jogvitákra vonatkozóan. E rendelkezés alapján a</w:t>
      </w:r>
      <w:r w:rsidR="00F0231E" w:rsidRPr="005660B7">
        <w:t xml:space="preserve"> bíróságok szervezetéről és igazgatásáról szóló 2011. évi CLXI. törvény létrehozta a közigazgatási és munkaügyi bíróságokat, amelyek azonban csak látszólag eredményezték a közigazgatási bíráskodás önállósulását. A közigazgatási és munkaügyi bíróságok ugyan </w:t>
      </w:r>
      <w:r>
        <w:t>külön</w:t>
      </w:r>
      <w:r w:rsidR="00F0231E" w:rsidRPr="005660B7">
        <w:t xml:space="preserve">bíróságok voltak, azaz más feladatokat láttak el, mint a rendes bíróságok, azonban nem csak közigazgatási ügyekben jártak el. Nem rendelkeztek önálló jogalanyisággal, </w:t>
      </w:r>
      <w:r w:rsidR="005378AA">
        <w:t xml:space="preserve">s </w:t>
      </w:r>
      <w:r w:rsidR="00F0231E" w:rsidRPr="005660B7">
        <w:t>a törvényszéki elnökök irányítása alatt áll</w:t>
      </w:r>
      <w:r w:rsidR="005378AA">
        <w:t>va</w:t>
      </w:r>
      <w:r w:rsidR="00F0231E" w:rsidRPr="005660B7">
        <w:t xml:space="preserve"> szervezeti önállósággal sem rendelkeztek, így nem voltak </w:t>
      </w:r>
      <w:r w:rsidR="00F0231E" w:rsidRPr="005035C0">
        <w:t>valódi különbíróságok.</w:t>
      </w:r>
      <w:r w:rsidR="004F5935">
        <w:rPr>
          <w:rStyle w:val="Lbjegyzet-hivatkozs"/>
        </w:rPr>
        <w:footnoteReference w:id="35"/>
      </w:r>
      <w:r w:rsidR="00F0231E" w:rsidRPr="005035C0">
        <w:t xml:space="preserve"> Ezt a megoldást inkább a monista rendszerhez közelálló modellként</w:t>
      </w:r>
      <w:r w:rsidR="00D14123">
        <w:t>, vagy „álvegyes”</w:t>
      </w:r>
      <w:r w:rsidR="00F0231E" w:rsidRPr="005035C0">
        <w:t xml:space="preserve"> </w:t>
      </w:r>
      <w:r w:rsidR="00D14123">
        <w:t>megoldásként</w:t>
      </w:r>
      <w:r w:rsidR="00D14123">
        <w:rPr>
          <w:rStyle w:val="Lbjegyzet-hivatkozs"/>
        </w:rPr>
        <w:footnoteReference w:id="36"/>
      </w:r>
      <w:r w:rsidR="00D14123">
        <w:t xml:space="preserve"> </w:t>
      </w:r>
      <w:r w:rsidR="00F0231E" w:rsidRPr="005035C0">
        <w:t>jellemezh</w:t>
      </w:r>
      <w:r w:rsidR="00F0231E" w:rsidRPr="005660B7">
        <w:t>etjük.</w:t>
      </w:r>
      <w:r>
        <w:t xml:space="preserve"> </w:t>
      </w:r>
    </w:p>
    <w:p w14:paraId="5B1982A3" w14:textId="0CFEC425" w:rsidR="00E13A95" w:rsidRPr="006E11BD" w:rsidRDefault="005968DB" w:rsidP="006E11BD">
      <w:pPr>
        <w:pStyle w:val="fszveg"/>
        <w:rPr>
          <w:szCs w:val="20"/>
        </w:rPr>
      </w:pPr>
      <w:r>
        <w:rPr>
          <w:szCs w:val="20"/>
        </w:rPr>
        <w:t xml:space="preserve">[18] </w:t>
      </w:r>
      <w:r w:rsidR="00F0231E" w:rsidRPr="00D808EE">
        <w:rPr>
          <w:szCs w:val="20"/>
        </w:rPr>
        <w:t>A</w:t>
      </w:r>
      <w:r w:rsidR="00F0231E">
        <w:rPr>
          <w:szCs w:val="20"/>
        </w:rPr>
        <w:t>z önálló</w:t>
      </w:r>
      <w:r w:rsidR="00F0231E" w:rsidRPr="00D808EE">
        <w:rPr>
          <w:szCs w:val="20"/>
        </w:rPr>
        <w:t xml:space="preserve"> közigazgatási különbíróságok létrehozását célzó első </w:t>
      </w:r>
      <w:r w:rsidR="006647DD">
        <w:rPr>
          <w:szCs w:val="20"/>
        </w:rPr>
        <w:t>kísérlet</w:t>
      </w:r>
      <w:r w:rsidR="00F0231E" w:rsidRPr="00D808EE">
        <w:rPr>
          <w:szCs w:val="20"/>
        </w:rPr>
        <w:t xml:space="preserve"> a közigazgatási perrendtartás megalkotásához kapcsolódott</w:t>
      </w:r>
      <w:r w:rsidR="006647DD">
        <w:rPr>
          <w:szCs w:val="20"/>
        </w:rPr>
        <w:t>.</w:t>
      </w:r>
      <w:r w:rsidR="005035C0">
        <w:rPr>
          <w:szCs w:val="20"/>
        </w:rPr>
        <w:t xml:space="preserve"> </w:t>
      </w:r>
      <w:r w:rsidR="006647DD">
        <w:rPr>
          <w:szCs w:val="20"/>
        </w:rPr>
        <w:t>A</w:t>
      </w:r>
      <w:r w:rsidR="00F0231E" w:rsidRPr="00D808EE">
        <w:rPr>
          <w:szCs w:val="20"/>
        </w:rPr>
        <w:t xml:space="preserve">z Igazságügyi Minisztérium </w:t>
      </w:r>
      <w:r w:rsidR="005035C0">
        <w:rPr>
          <w:szCs w:val="20"/>
        </w:rPr>
        <w:t xml:space="preserve">által előkészített, </w:t>
      </w:r>
      <w:r w:rsidR="00F0231E" w:rsidRPr="00D808EE">
        <w:rPr>
          <w:szCs w:val="20"/>
        </w:rPr>
        <w:t>egy részlegesen önálló közigazgatási bírósági szervezet</w:t>
      </w:r>
      <w:r w:rsidR="005035C0">
        <w:rPr>
          <w:szCs w:val="20"/>
        </w:rPr>
        <w:t>et előrevetítő</w:t>
      </w:r>
      <w:r w:rsidR="00F0231E" w:rsidRPr="00D808EE">
        <w:rPr>
          <w:szCs w:val="20"/>
        </w:rPr>
        <w:t xml:space="preserve"> </w:t>
      </w:r>
      <w:r w:rsidR="00F0231E" w:rsidRPr="00BB67B8">
        <w:rPr>
          <w:szCs w:val="20"/>
        </w:rPr>
        <w:t>tervezet</w:t>
      </w:r>
      <w:r w:rsidR="00F0231E" w:rsidRPr="00D808EE">
        <w:rPr>
          <w:szCs w:val="20"/>
        </w:rPr>
        <w:t xml:space="preserve"> elfogadásához szükséges konszenzus</w:t>
      </w:r>
      <w:r w:rsidR="005035C0" w:rsidRPr="005035C0">
        <w:rPr>
          <w:szCs w:val="20"/>
        </w:rPr>
        <w:t xml:space="preserve"> </w:t>
      </w:r>
      <w:r w:rsidR="005035C0" w:rsidRPr="00D808EE">
        <w:rPr>
          <w:szCs w:val="20"/>
        </w:rPr>
        <w:t xml:space="preserve">a parlamenti pártok között </w:t>
      </w:r>
      <w:r w:rsidR="006647DD">
        <w:rPr>
          <w:szCs w:val="20"/>
        </w:rPr>
        <w:t xml:space="preserve">azonban </w:t>
      </w:r>
      <w:r w:rsidR="005035C0" w:rsidRPr="00D808EE">
        <w:rPr>
          <w:szCs w:val="20"/>
        </w:rPr>
        <w:t>nem jött létre</w:t>
      </w:r>
      <w:r w:rsidR="00F0231E" w:rsidRPr="00D808EE">
        <w:rPr>
          <w:szCs w:val="20"/>
        </w:rPr>
        <w:t>.</w:t>
      </w:r>
      <w:r w:rsidR="005035C0">
        <w:rPr>
          <w:rStyle w:val="Lbjegyzet-hivatkozs"/>
          <w:szCs w:val="20"/>
        </w:rPr>
        <w:footnoteReference w:id="37"/>
      </w:r>
      <w:r w:rsidR="00F0231E" w:rsidRPr="00D808EE">
        <w:rPr>
          <w:szCs w:val="20"/>
        </w:rPr>
        <w:t xml:space="preserve"> Az Alaptörvény hetedik, a 2018-as választásokat követően elfogadott módosítása az Alaptörvénybe iktatta a rendes bíróságoktól elkülönülő közigazgatási bí</w:t>
      </w:r>
      <w:r w:rsidR="00F0231E" w:rsidRPr="00BB67B8">
        <w:rPr>
          <w:szCs w:val="20"/>
        </w:rPr>
        <w:t>ráskodást,</w:t>
      </w:r>
      <w:r w:rsidR="006E11BD">
        <w:rPr>
          <w:szCs w:val="20"/>
        </w:rPr>
        <w:t xml:space="preserve"> s annak alapján elfogadásra került a közigazgatási bíróságokról szóló 2018. évi CXXV. törvény.</w:t>
      </w:r>
      <w:r w:rsidR="00382CEB">
        <w:rPr>
          <w:rStyle w:val="Lbjegyzet-hivatkozs"/>
          <w:szCs w:val="20"/>
        </w:rPr>
        <w:footnoteReference w:id="38"/>
      </w:r>
      <w:r w:rsidR="006E11BD">
        <w:rPr>
          <w:szCs w:val="20"/>
        </w:rPr>
        <w:t xml:space="preserve"> Az azonban soha nem lépett hatályba, az azt hatályba léptető törvényt végül 2019 derekán hatályon kívül helyezte az Országgyűlés. </w:t>
      </w:r>
      <w:r w:rsidR="00F0231E" w:rsidRPr="00D808EE">
        <w:rPr>
          <w:szCs w:val="20"/>
        </w:rPr>
        <w:t>2019 novemberében az Országgyűlés az egyik ellenzéki párt javaslatára újfent módosította az Alaptörvényt</w:t>
      </w:r>
      <w:r w:rsidR="006E11BD">
        <w:rPr>
          <w:szCs w:val="20"/>
        </w:rPr>
        <w:t xml:space="preserve"> – s</w:t>
      </w:r>
      <w:r w:rsidR="00F0231E" w:rsidRPr="00D808EE">
        <w:rPr>
          <w:szCs w:val="20"/>
        </w:rPr>
        <w:t xml:space="preserve"> </w:t>
      </w:r>
      <w:r w:rsidR="006E11BD">
        <w:rPr>
          <w:szCs w:val="20"/>
        </w:rPr>
        <w:t xml:space="preserve">hatályon kívül helyezve az önálló közigazgatási bíráskodásra vonatkozó rendelkezéseket – </w:t>
      </w:r>
      <w:r w:rsidR="00F0231E" w:rsidRPr="00D808EE">
        <w:rPr>
          <w:szCs w:val="20"/>
        </w:rPr>
        <w:t>annak nyolcadik módosításával a hatodik módosítás utáni állapot</w:t>
      </w:r>
      <w:r w:rsidR="006E11BD">
        <w:rPr>
          <w:szCs w:val="20"/>
        </w:rPr>
        <w:t>á</w:t>
      </w:r>
      <w:r w:rsidR="00F0231E" w:rsidRPr="00D808EE">
        <w:rPr>
          <w:szCs w:val="20"/>
        </w:rPr>
        <w:t>t állította</w:t>
      </w:r>
      <w:r w:rsidR="006E11BD">
        <w:rPr>
          <w:szCs w:val="20"/>
        </w:rPr>
        <w:t xml:space="preserve"> </w:t>
      </w:r>
      <w:r w:rsidR="006E11BD" w:rsidRPr="004A4D03">
        <w:rPr>
          <w:szCs w:val="20"/>
        </w:rPr>
        <w:t>vissza</w:t>
      </w:r>
      <w:r w:rsidR="00F0231E" w:rsidRPr="00D808EE">
        <w:rPr>
          <w:szCs w:val="20"/>
        </w:rPr>
        <w:t>.</w:t>
      </w:r>
      <w:r w:rsidR="005035C0">
        <w:rPr>
          <w:rStyle w:val="Lbjegyzet-hivatkozs"/>
          <w:szCs w:val="20"/>
        </w:rPr>
        <w:footnoteReference w:id="39"/>
      </w:r>
      <w:r w:rsidR="00F0231E" w:rsidRPr="00D808EE">
        <w:rPr>
          <w:szCs w:val="20"/>
        </w:rPr>
        <w:t xml:space="preserve"> A Kormány ezzel párhuzamosan javaslatot nyújtott be az Országgyűléshez</w:t>
      </w:r>
      <w:r w:rsidR="005035C0">
        <w:rPr>
          <w:szCs w:val="20"/>
        </w:rPr>
        <w:t xml:space="preserve">, amely </w:t>
      </w:r>
      <w:r w:rsidR="00F0231E" w:rsidRPr="006E7273">
        <w:rPr>
          <w:szCs w:val="20"/>
        </w:rPr>
        <w:t>törvény</w:t>
      </w:r>
      <w:r w:rsidR="005035C0">
        <w:rPr>
          <w:szCs w:val="20"/>
        </w:rPr>
        <w:t>tervezet</w:t>
      </w:r>
      <w:r w:rsidR="00F0231E" w:rsidRPr="00BB67B8">
        <w:rPr>
          <w:szCs w:val="20"/>
        </w:rPr>
        <w:t xml:space="preserve"> </w:t>
      </w:r>
      <w:r w:rsidR="00F0231E" w:rsidRPr="00D808EE">
        <w:rPr>
          <w:szCs w:val="20"/>
        </w:rPr>
        <w:t>meglep</w:t>
      </w:r>
      <w:r w:rsidR="00F0231E">
        <w:rPr>
          <w:szCs w:val="20"/>
        </w:rPr>
        <w:t>ő módon</w:t>
      </w:r>
      <w:r w:rsidR="00F0231E" w:rsidRPr="00D808EE">
        <w:rPr>
          <w:szCs w:val="20"/>
        </w:rPr>
        <w:t xml:space="preserve"> a közigazgatási bíráskodás fórumrendszerét szabályozó törvények módosítását is magában foglal</w:t>
      </w:r>
      <w:r w:rsidR="00F0231E">
        <w:rPr>
          <w:szCs w:val="20"/>
        </w:rPr>
        <w:t>ta</w:t>
      </w:r>
      <w:r w:rsidR="00F0231E" w:rsidRPr="00D808EE">
        <w:rPr>
          <w:szCs w:val="20"/>
        </w:rPr>
        <w:t xml:space="preserve">. </w:t>
      </w:r>
      <w:r w:rsidR="005035C0">
        <w:rPr>
          <w:szCs w:val="20"/>
        </w:rPr>
        <w:t>Ez</w:t>
      </w:r>
      <w:r w:rsidR="00F0231E">
        <w:rPr>
          <w:szCs w:val="20"/>
        </w:rPr>
        <w:t xml:space="preserve"> </w:t>
      </w:r>
      <w:r w:rsidR="00F0231E" w:rsidRPr="00D808EE">
        <w:rPr>
          <w:szCs w:val="20"/>
        </w:rPr>
        <w:t xml:space="preserve">a korábbi jogalkotói törekvésektől </w:t>
      </w:r>
      <w:r w:rsidR="00FA0E66">
        <w:rPr>
          <w:szCs w:val="20"/>
        </w:rPr>
        <w:t xml:space="preserve">egyszerre </w:t>
      </w:r>
      <w:r w:rsidR="00F0231E" w:rsidRPr="00D808EE">
        <w:rPr>
          <w:szCs w:val="20"/>
        </w:rPr>
        <w:t>alapjaiban eltérő</w:t>
      </w:r>
      <w:r w:rsidR="00FA0E66">
        <w:rPr>
          <w:szCs w:val="20"/>
        </w:rPr>
        <w:t>, ugyanakkor azonos</w:t>
      </w:r>
      <w:r w:rsidR="00F0231E" w:rsidRPr="00D808EE">
        <w:rPr>
          <w:szCs w:val="20"/>
        </w:rPr>
        <w:t xml:space="preserve"> irányt szabott a közigazgatási bíráskodásnak</w:t>
      </w:r>
      <w:r w:rsidR="00FA0E66">
        <w:rPr>
          <w:szCs w:val="20"/>
        </w:rPr>
        <w:t>, ugyanis kétfokúvá alakította a rendszert, de visszavezette teljesen a rendes bírósági keretek közé</w:t>
      </w:r>
      <w:r w:rsidR="00F0231E" w:rsidRPr="00D808EE">
        <w:rPr>
          <w:szCs w:val="20"/>
        </w:rPr>
        <w:t>.</w:t>
      </w:r>
      <w:r w:rsidR="005035C0">
        <w:t xml:space="preserve"> </w:t>
      </w:r>
      <w:r w:rsidR="00F0231E">
        <w:t>Az Alaptörvény n</w:t>
      </w:r>
      <w:r w:rsidR="00F0231E" w:rsidRPr="002932CD">
        <w:t>yolcadik</w:t>
      </w:r>
      <w:r w:rsidR="00F0231E">
        <w:t xml:space="preserve"> módosításával a különbíróságok létrehozásának lehetősége is megszűnt. Az egyes törvényeknek az egyfokú járási hivatali eljárások megteremtésével összefüggő módosításáról szóló 2019. évi CXXVII. törvény (Ejhet.) 2020. március végével felszámolta a közigazgatási és munkaügyi bíróságokat.</w:t>
      </w:r>
      <w:r w:rsidR="0096127E">
        <w:rPr>
          <w:rStyle w:val="Lbjegyzet-hivatkozs"/>
        </w:rPr>
        <w:footnoteReference w:id="40"/>
      </w:r>
      <w:r w:rsidR="00F0231E">
        <w:t xml:space="preserve"> Véget ért ezzel az a majdnem egy évtizedes folyamat, amellyel </w:t>
      </w:r>
      <w:r w:rsidR="00F0231E" w:rsidRPr="002932CD">
        <w:t>szervezetileg is a dualista rendszerű közigazgatási bíráskodás</w:t>
      </w:r>
      <w:r w:rsidR="00F0231E">
        <w:t xml:space="preserve"> felé</w:t>
      </w:r>
      <w:r w:rsidR="00F0231E" w:rsidRPr="002932CD">
        <w:t xml:space="preserve"> </w:t>
      </w:r>
      <w:r w:rsidR="00F0231E">
        <w:t xml:space="preserve">haladt a magyar bírósági rendszer. </w:t>
      </w:r>
      <w:r w:rsidR="00FA0E66">
        <w:t xml:space="preserve">A </w:t>
      </w:r>
      <w:r w:rsidR="00F0231E">
        <w:t xml:space="preserve">dualista rendszer </w:t>
      </w:r>
      <w:r w:rsidR="00F0231E" w:rsidRPr="002932CD">
        <w:t>egyéb meglévő jellemzői</w:t>
      </w:r>
      <w:r w:rsidR="00F0231E">
        <w:t>: az elkülönült perjog és az elkülönült ítélkezési fórumok a rendes bírósági rendszerbe való teljes integráció ellenére megmaradt</w:t>
      </w:r>
      <w:r w:rsidR="00F0231E" w:rsidRPr="002932CD">
        <w:t>ak</w:t>
      </w:r>
      <w:r w:rsidR="00FA0E66">
        <w:t xml:space="preserve"> azonban</w:t>
      </w:r>
      <w:r w:rsidR="00F0231E">
        <w:t>. Sőt</w:t>
      </w:r>
      <w:r w:rsidR="00FA0E66">
        <w:t>,</w:t>
      </w:r>
      <w:r w:rsidR="00F0231E">
        <w:t xml:space="preserve"> ez utóbbi téren az elkülönültség az önálló törvényszéki közigazgatási kollégiumok intézményesítése révén még erősödött is</w:t>
      </w:r>
      <w:r w:rsidR="005035C0">
        <w:t>, hiszen immár külön szakmai testületekként működnek a korábban vagy a munkajogi, vagy a polgári jogi szakággal közösen szervezett kollégiumok</w:t>
      </w:r>
      <w:r w:rsidR="00F0231E">
        <w:t>.</w:t>
      </w:r>
      <w:r w:rsidR="00FA0E66">
        <w:rPr>
          <w:rStyle w:val="Lbjegyzet-hivatkozs"/>
        </w:rPr>
        <w:footnoteReference w:id="41"/>
      </w:r>
      <w:r w:rsidR="00F0231E">
        <w:t xml:space="preserve"> Így tehát </w:t>
      </w:r>
      <w:r w:rsidR="00FA0E66">
        <w:t>t</w:t>
      </w:r>
      <w:r w:rsidR="00F0231E">
        <w:t>ovábbra is félig-meddig dualistának minősíthető a rendszer a perjog és a közigazgatási ügyekben eljáró</w:t>
      </w:r>
      <w:r w:rsidR="0099084A">
        <w:t xml:space="preserve"> </w:t>
      </w:r>
      <w:r w:rsidR="00F0231E">
        <w:t>tanácsok belső elkülönültségére, továbbá a közhatalmi jogkörben okozott kár megtérítése iránti perek közigazgatási bírósági határozathoz kötöttségére tekintettel</w:t>
      </w:r>
      <w:r w:rsidR="00FA0E66">
        <w:t>, s csak szervezetileg tért vissza a magyar rendszer a monista megoldáshoz azáltal, hogy a közigazgatási bíráskodás egyik szinten sem különül el a rendes bírósági rendszertől.</w:t>
      </w:r>
      <w:r w:rsidR="00FA0E66">
        <w:rPr>
          <w:rStyle w:val="Lbjegyzet-hivatkozs"/>
        </w:rPr>
        <w:footnoteReference w:id="42"/>
      </w:r>
      <w:r w:rsidR="00F0231E">
        <w:t xml:space="preserve"> </w:t>
      </w:r>
    </w:p>
    <w:bookmarkEnd w:id="1"/>
    <w:bookmarkEnd w:id="2"/>
    <w:bookmarkEnd w:id="3"/>
    <w:p w14:paraId="59DCCDE5" w14:textId="5440AC97" w:rsidR="00D02313" w:rsidRPr="00A21394" w:rsidRDefault="007C10EA" w:rsidP="00C7360F">
      <w:pPr>
        <w:pStyle w:val="belscm2"/>
      </w:pPr>
      <w:r>
        <w:t>A közigazgatási jogvita</w:t>
      </w:r>
    </w:p>
    <w:p w14:paraId="01B999E8" w14:textId="74DDA5D6" w:rsidR="00582191" w:rsidRDefault="00D02313" w:rsidP="00582191">
      <w:pPr>
        <w:pStyle w:val="fszveg"/>
      </w:pPr>
      <w:r>
        <w:t>[</w:t>
      </w:r>
      <w:r w:rsidR="00517E82">
        <w:t>19</w:t>
      </w:r>
      <w:r>
        <w:t xml:space="preserve">] </w:t>
      </w:r>
      <w:r w:rsidR="00E05146">
        <w:t xml:space="preserve">Anélkül, hogy a közigazgatási perjog részleteibe merülnénk, nem kerülhetjük meg a közigazgatási jogvita sarokpontjainak rövid bemutatását. Ez jelöli ki nemcsak a bírói út terjedelmét, </w:t>
      </w:r>
      <w:r w:rsidR="001873E9">
        <w:t xml:space="preserve">s a közigazgatási bíróság döntési jogköreit, hanem </w:t>
      </w:r>
      <w:r w:rsidR="00E05146">
        <w:t>a közigazgatási perek sui generis jellemzőit</w:t>
      </w:r>
      <w:r w:rsidR="001873E9">
        <w:t xml:space="preserve"> is. Utóbbiak alapozzák meg az önálló közigazgatási bíráskodás létét</w:t>
      </w:r>
      <w:r w:rsidR="00E05146">
        <w:t xml:space="preserve">, </w:t>
      </w:r>
      <w:r w:rsidR="001873E9">
        <w:t xml:space="preserve">hiszen érvényre juttatják a fentebb bemutatott funkciókat. </w:t>
      </w:r>
      <w:r w:rsidR="00217A9B">
        <w:t>Nem véletlen, hogy szinte nem találunk már olyan országot Európában, ahol ne lennének a közigazgatási perek elbírálására külön perjogi szabályok, általában külön perjogi kódex</w:t>
      </w:r>
      <w:r w:rsidR="00587759">
        <w:t>ben</w:t>
      </w:r>
      <w:r w:rsidR="00217A9B">
        <w:t xml:space="preserve"> vagy a közigazgatási bíráskodás szervezetét is szabályozó törvényben. </w:t>
      </w:r>
      <w:r w:rsidR="001A369D">
        <w:t>A polgári perekhez képest számos eltérés</w:t>
      </w:r>
      <w:r w:rsidR="00582191">
        <w:t xml:space="preserve"> fedezhető fel, amelyek szükségesek összefoglalóan a hatékony jogvédelem biztosítása érdekében.</w:t>
      </w:r>
      <w:r w:rsidR="00217A9B">
        <w:rPr>
          <w:rStyle w:val="Lbjegyzet-hivatkozs"/>
        </w:rPr>
        <w:footnoteReference w:id="43"/>
      </w:r>
      <w:r w:rsidR="00582191">
        <w:t xml:space="preserve"> </w:t>
      </w:r>
      <w:bookmarkStart w:id="11" w:name="_Hlk108863193"/>
      <w:r w:rsidR="00582191">
        <w:t>Ezek közül az egyik leglényegesebb, hogy „a felek esetében az egyenlőség ténylegesen csak jogi, s ezen belül eljárásjogi szempontból állapítható meg, valójában szakmai vagy szociológiai értelemben a felek nyilvánvalóan nem egyenlőek. A közigazgatási perek egyik állandó résztvevője – rendszerint alperesként – a közhatalom, illetve annak valamely szervezetrendszere, a hozzá kapcsolódó szakmai lehetőségekkel és háttérrel. … az ellenérdekű fél a lehetőségeit tekintve nyilvánvalóan nem áll azonos színvonalon a perbeli ellenfelével, és ezt a kétségtelenül fennálló egyensúlytalanságot olyan garanciák beépítésével kell kiküszöbölni, amely a polgári perek esetében általában nem indokolt.”</w:t>
      </w:r>
      <w:r w:rsidR="007B1662">
        <w:rPr>
          <w:rStyle w:val="Lbjegyzet-hivatkozs"/>
        </w:rPr>
        <w:footnoteReference w:id="44"/>
      </w:r>
      <w:r w:rsidR="00582191">
        <w:t xml:space="preserve"> A fegyveregyenlőség </w:t>
      </w:r>
      <w:r w:rsidR="00217A9B">
        <w:t>biztosítása</w:t>
      </w:r>
      <w:r w:rsidR="00582191">
        <w:t xml:space="preserve"> </w:t>
      </w:r>
      <w:r w:rsidR="00CD43EA">
        <w:t xml:space="preserve">egyrészt a peres felek jogainak és kötelezettségeinek másfajta elosztását teszi szükségessé, </w:t>
      </w:r>
      <w:r w:rsidR="00217A9B">
        <w:t>másrészt</w:t>
      </w:r>
      <w:r w:rsidR="00CD43EA">
        <w:t xml:space="preserve"> a bíróság feladatai is máshogy alakulnak, több hivatalbóli fellépést, teendőt eredményezve.</w:t>
      </w:r>
      <w:r w:rsidR="00CD43EA">
        <w:rPr>
          <w:rStyle w:val="Lbjegyzet-hivatkozs"/>
        </w:rPr>
        <w:footnoteReference w:id="45"/>
      </w:r>
      <w:bookmarkEnd w:id="11"/>
      <w:r w:rsidR="00CD43EA">
        <w:t xml:space="preserve"> </w:t>
      </w:r>
      <w:r w:rsidR="007B1662">
        <w:t>Mint arról már volt szó, az objektív jogvédelem is több hivatalbóliságot és másféle perbeli legitimációt is követel meg.</w:t>
      </w:r>
      <w:r w:rsidR="00232CCE">
        <w:rPr>
          <w:rStyle w:val="Lbjegyzet-hivatkozs"/>
        </w:rPr>
        <w:footnoteReference w:id="46"/>
      </w:r>
    </w:p>
    <w:p w14:paraId="5A734DF2" w14:textId="14FB5624" w:rsidR="00E3389B" w:rsidRDefault="007B1662" w:rsidP="00D02313">
      <w:pPr>
        <w:pStyle w:val="fszveg"/>
      </w:pPr>
      <w:r>
        <w:t>[2</w:t>
      </w:r>
      <w:r w:rsidR="00232CCE">
        <w:t>1</w:t>
      </w:r>
      <w:r>
        <w:t xml:space="preserve">] </w:t>
      </w:r>
      <w:r w:rsidR="00D02313" w:rsidRPr="00F0231E">
        <w:t>Az európai jogfejlődésben azt tapasztaljuk, hogy a közigazgatási bíróságok hatásköre folyamatosan bővül. Ez egyrészt betudható annak, hogy a közigazgatás eszközrendszere egyre differenciáltabb, másrészt pedig a jogállami gondolkodás térnyerésének, amelynek értelmében a közigazgatás feletti legeredményesebb kontrollt a bírói hatalom tudja megvalósítani. A jogállamiság fontos fokmérője, hogy az állami döntések mekkora hányada támadható meg bíróság előtt</w:t>
      </w:r>
      <w:r w:rsidR="00626AA1">
        <w:t>, a közigazgatási bíráskodás a jogállamiság boltozatának záróköve.</w:t>
      </w:r>
      <w:r w:rsidR="00626AA1">
        <w:rPr>
          <w:rStyle w:val="Lbjegyzet-hivatkozs"/>
        </w:rPr>
        <w:footnoteReference w:id="47"/>
      </w:r>
      <w:r w:rsidR="001C086D">
        <w:t xml:space="preserve"> </w:t>
      </w:r>
      <w:r w:rsidR="00A1551F">
        <w:t xml:space="preserve">Éppen ezért kiemelt jelentősége van annak, hogy egy jogrendszerben a közigazgatási bírói út mennyire </w:t>
      </w:r>
      <w:r w:rsidR="00DC1A71">
        <w:t xml:space="preserve">van </w:t>
      </w:r>
      <w:r w:rsidR="00A1551F">
        <w:t>tágra nyitva. A lehető legteljesebb jogvédelmet az olyan megoldások tudják nyújtani, amelyek – a polgári perjogban ismerthez hasonlóan – általános fogalmak</w:t>
      </w:r>
      <w:r w:rsidR="00E21BBC">
        <w:t>ra építő</w:t>
      </w:r>
      <w:r w:rsidR="00A1551F">
        <w:t xml:space="preserve"> generálklauzulával nyitják meg a közigazgatási bírói utat. </w:t>
      </w:r>
      <w:r w:rsidR="00D21DFF" w:rsidRPr="00AF2616">
        <w:t xml:space="preserve">Németországban </w:t>
      </w:r>
      <w:r w:rsidR="00A1551F">
        <w:t xml:space="preserve">például </w:t>
      </w:r>
      <w:r w:rsidR="00372473">
        <w:t xml:space="preserve">a </w:t>
      </w:r>
      <w:r w:rsidR="00D21DFF" w:rsidRPr="00AF2616">
        <w:t>minden nem alkotmányjogi jellegű közjogi jogvitában adott a közigazgatási bírói út, hacsak szövetségi törvény nem utalja a jogvitát kifejezetten más bíróság hatáskörébe.</w:t>
      </w:r>
      <w:r w:rsidR="00D21DFF">
        <w:rPr>
          <w:rStyle w:val="Lbjegyzet-hivatkozs"/>
        </w:rPr>
        <w:footnoteReference w:id="48"/>
      </w:r>
      <w:r w:rsidR="001C086D">
        <w:t xml:space="preserve"> </w:t>
      </w:r>
      <w:r w:rsidR="00A1551F">
        <w:t>Franciaországban a public service eszméjéből kiindulva minden közigazgatással, közfeladat ellátásával kapcsolatos jogvita a közigazgatási bíróságok elé tartozik</w:t>
      </w:r>
      <w:r w:rsidR="00933EF6">
        <w:t xml:space="preserve">. Más európai országok is egyre inkább a generálklauzulás szabályozás felé nyitnak, </w:t>
      </w:r>
      <w:r w:rsidR="00F808DE">
        <w:t>mint pl. Spanyolország.</w:t>
      </w:r>
      <w:r w:rsidR="00E21BBC">
        <w:rPr>
          <w:rStyle w:val="Lbjegyzet-hivatkozs"/>
        </w:rPr>
        <w:footnoteReference w:id="49"/>
      </w:r>
      <w:r w:rsidR="00F808DE">
        <w:t xml:space="preserve"> </w:t>
      </w:r>
    </w:p>
    <w:p w14:paraId="2E84E093" w14:textId="35E0C4AD" w:rsidR="009170DE" w:rsidRDefault="00F579CD" w:rsidP="00F62A25">
      <w:pPr>
        <w:pStyle w:val="fszveg"/>
      </w:pPr>
      <w:r>
        <w:t>[2</w:t>
      </w:r>
      <w:r w:rsidR="00232CCE">
        <w:t>2</w:t>
      </w:r>
      <w:r>
        <w:t xml:space="preserve">] </w:t>
      </w:r>
      <w:r w:rsidR="00D21DFF">
        <w:t>A Kp. generálklauzulája</w:t>
      </w:r>
      <w:r w:rsidR="001C086D">
        <w:t xml:space="preserve"> a </w:t>
      </w:r>
      <w:r w:rsidR="00F808DE">
        <w:t>jogfejlődés alacsonyabb fokára tekintettel</w:t>
      </w:r>
      <w:r w:rsidR="001C086D">
        <w:t xml:space="preserve"> részletesebb</w:t>
      </w:r>
      <w:r w:rsidR="00D21DFF">
        <w:t xml:space="preserve">, </w:t>
      </w:r>
      <w:r w:rsidR="000F6293">
        <w:t xml:space="preserve">mint a német szabály, és számos magyarázó rendelkezés kíséri a további bekezdésekben. A hatályos szabály </w:t>
      </w:r>
      <w:r w:rsidR="00D21DFF">
        <w:t>202</w:t>
      </w:r>
      <w:r w:rsidR="000F6293">
        <w:t>0</w:t>
      </w:r>
      <w:r w:rsidR="00D21DFF">
        <w:t xml:space="preserve"> </w:t>
      </w:r>
      <w:r w:rsidR="000F6293">
        <w:t>óta</w:t>
      </w:r>
      <w:r w:rsidR="00F808DE">
        <w:rPr>
          <w:rStyle w:val="Lbjegyzet-hivatkozs"/>
        </w:rPr>
        <w:footnoteReference w:id="50"/>
      </w:r>
      <w:r w:rsidR="00D21DFF">
        <w:t xml:space="preserve"> a következő</w:t>
      </w:r>
      <w:r w:rsidR="00D02313" w:rsidRPr="00AF2616">
        <w:t xml:space="preserve">: </w:t>
      </w:r>
      <w:r w:rsidR="000E0182">
        <w:t>„</w:t>
      </w:r>
      <w:r w:rsidR="00D02313" w:rsidRPr="00AF2616">
        <w:t xml:space="preserve">A közigazgatási jogvita tárgya a közigazgatási szerv közigazgatási jog által szabályozott, az azzal érintett jogalany jogi helyzetének megváltoztatására irányuló vagy azt eredményező </w:t>
      </w:r>
      <w:r w:rsidR="00D21DFF">
        <w:t xml:space="preserve">– (3) bekezdésben felsorolt – </w:t>
      </w:r>
      <w:r w:rsidR="00D02313" w:rsidRPr="00AF2616">
        <w:t>cselekményének, vagy a cselekmény elmulasztásának (a továbbiakban együtt: közigazgatási tevékenység) jogszerűsége.</w:t>
      </w:r>
      <w:r w:rsidR="000E0182">
        <w:t>”</w:t>
      </w:r>
      <w:r w:rsidR="001C086D">
        <w:rPr>
          <w:rStyle w:val="Lbjegyzet-hivatkozs"/>
        </w:rPr>
        <w:footnoteReference w:id="51"/>
      </w:r>
      <w:r w:rsidR="00BB26CE">
        <w:t xml:space="preserve"> </w:t>
      </w:r>
      <w:r w:rsidR="000E0182">
        <w:t xml:space="preserve">A generálklauzulának három, egyaránt lényeges és értelmezésre szoruló eleme van: </w:t>
      </w:r>
      <w:r w:rsidR="0006620E">
        <w:t>1. közigazgatási szerv 2. közigazgatási jog által szabályozott 3. joghatás</w:t>
      </w:r>
      <w:r w:rsidR="002B4110">
        <w:t>t kiváltó cselekmény</w:t>
      </w:r>
      <w:r w:rsidR="00372473">
        <w:t>e</w:t>
      </w:r>
      <w:r w:rsidR="002B4110">
        <w:t xml:space="preserve"> vagy </w:t>
      </w:r>
      <w:r w:rsidR="00372473">
        <w:t>annak el</w:t>
      </w:r>
      <w:r w:rsidR="002B4110">
        <w:t>mulasztás</w:t>
      </w:r>
      <w:r w:rsidR="00372473">
        <w:t>a</w:t>
      </w:r>
      <w:r w:rsidR="002B4110">
        <w:t xml:space="preserve">. </w:t>
      </w:r>
      <w:r w:rsidR="009170DE">
        <w:t xml:space="preserve">E generálklauzula mindhárom eleme magyarázatra szorul. </w:t>
      </w:r>
      <w:r w:rsidR="00436224">
        <w:t xml:space="preserve">A közigazgatási szerv fogalma </w:t>
      </w:r>
      <w:r w:rsidR="009170DE">
        <w:t xml:space="preserve">maga </w:t>
      </w:r>
      <w:r w:rsidR="00436224">
        <w:t>is bővítette a bírói utat</w:t>
      </w:r>
      <w:r w:rsidR="00C7360F">
        <w:t xml:space="preserve"> és ezzel a jogvédelem hatékonyságát</w:t>
      </w:r>
      <w:r w:rsidR="00436224">
        <w:t>, hiszen olyan szervezetek is közigazgatási szervnek minősülnek</w:t>
      </w:r>
      <w:r w:rsidR="00145E1A">
        <w:t xml:space="preserve"> ennek értelmében</w:t>
      </w:r>
      <w:r w:rsidR="00436224">
        <w:t xml:space="preserve">, s </w:t>
      </w:r>
      <w:r w:rsidR="00C7360F">
        <w:t>í</w:t>
      </w:r>
      <w:r w:rsidR="00436224">
        <w:t>gy közigazgatási cselekményeik általános jelleggel bíróság elé vihetőek, amelyek nem minősülnek dogmatikai értelemben közigazgatási szerveknek. A közigazgatási szerv fogalma alá tartoznak mind az államigazgatási és az önkormányzati alrendszer közigazgatási szervei, illetve a tágabb intézményrendszerhez tartozó szervezetek, mint a köztestületek vagy a főiskolák és egyetemek, illetve ezek önálló feladat- és hatáskörrel rendelkező tisztviselői, szervezeti egységei (pl. jegyző, köztestület fegyelmi bizottsága, egyetem rektora) is. A közigazgatási szervi minőség nincs polgári jogi jogalanyisághoz kötve, mind önálló, mind nem önálló közigazgatási szerveket megillethet.</w:t>
      </w:r>
      <w:r w:rsidR="00C7360F">
        <w:rPr>
          <w:rStyle w:val="Lbjegyzet-hivatkozs"/>
        </w:rPr>
        <w:footnoteReference w:id="52"/>
      </w:r>
      <w:r w:rsidR="00E05EF8">
        <w:t xml:space="preserve"> A másik fogalmi elem, a közigazgatási jog általi szabályozottság </w:t>
      </w:r>
      <w:r w:rsidR="009170DE">
        <w:t xml:space="preserve">követelménye </w:t>
      </w:r>
      <w:r w:rsidR="00544F23">
        <w:t>nyomán a közigazgatási jogvita fogalmi körén kívül esnek a szabálysértési jogkörben hozott döntések vagy például az alkotmánybírósági gyakorlat nyomán a birtokvédelem tárgyában hozott jegyzői határozatok</w:t>
      </w:r>
      <w:r w:rsidR="009170DE">
        <w:t>, ugyanakkor a pénzügyi jog a közigazgatási jogon belül elhelyezkedő terület</w:t>
      </w:r>
      <w:r w:rsidR="00544F23">
        <w:t>. A joghatás kiváltására irányultsá</w:t>
      </w:r>
      <w:r w:rsidR="00452A41">
        <w:t xml:space="preserve">g a harmadik elem. Itt nem szükséges, hogy kifejezetten a joghatás kiváltása legyen a közigazgatási szerv célja cselekménye megvalósításával, elegendő az is, hogy „véletlenül” </w:t>
      </w:r>
      <w:r w:rsidR="009170DE">
        <w:t xml:space="preserve">vált ki joghatást, azaz </w:t>
      </w:r>
      <w:r w:rsidR="00452A41">
        <w:t>eredményezi egy közigazgatási jogviszony létrejöttét, módosulását vagy megszűnését</w:t>
      </w:r>
      <w:r w:rsidR="009170DE">
        <w:t xml:space="preserve">. </w:t>
      </w:r>
    </w:p>
    <w:p w14:paraId="6B3FCA27" w14:textId="0D8D99D6" w:rsidR="00145E1A" w:rsidRDefault="009170DE" w:rsidP="00723176">
      <w:pPr>
        <w:pStyle w:val="fszveg"/>
      </w:pPr>
      <w:r>
        <w:t>[2</w:t>
      </w:r>
      <w:r w:rsidR="00232CCE">
        <w:t>3</w:t>
      </w:r>
      <w:r>
        <w:t>] A közigazgatási cselekmény fogalmát eredetileg csak példálódzó jelleggel</w:t>
      </w:r>
      <w:r w:rsidR="00F61AF6">
        <w:t>, egyfajta értelmezési segítségként</w:t>
      </w:r>
      <w:r>
        <w:t xml:space="preserve"> határozta meg a Kp. 4. § (3) bekezdése, </w:t>
      </w:r>
      <w:r w:rsidR="00C569C7">
        <w:t xml:space="preserve">azonban a jogalkotó </w:t>
      </w:r>
      <w:r>
        <w:t xml:space="preserve">már a </w:t>
      </w:r>
      <w:r w:rsidR="00C569C7">
        <w:t>tervezet részletes</w:t>
      </w:r>
      <w:r>
        <w:t xml:space="preserve"> vit</w:t>
      </w:r>
      <w:r w:rsidR="00C569C7">
        <w:t>ájában</w:t>
      </w:r>
      <w:r>
        <w:t>, majd pedig az 2019-es módosítás</w:t>
      </w:r>
      <w:r w:rsidR="00C569C7">
        <w:t>sal</w:t>
      </w:r>
      <w:r>
        <w:t xml:space="preserve"> ezen változtatni kívánt, így egyfelől az exemplifikatív jellegre utaló „különösen” szó nélkül fogadta el az Országgyűlés eleve a törvényt, másfelől pedig az (1) bekezdés 2020 óta hivatkozik is a (3) bekezdés zárt felsorolására, amely közigazgatási cselekménynek csak az egyedi döntést, a közigazgatási szerződést és az általános hatályú rendelkezést minősíti. Mivel azonban az </w:t>
      </w:r>
      <w:r w:rsidR="00C569C7">
        <w:t>„</w:t>
      </w:r>
      <w:r>
        <w:t>egyedi döntés</w:t>
      </w:r>
      <w:r w:rsidR="00C569C7">
        <w:t>”</w:t>
      </w:r>
      <w:r>
        <w:t xml:space="preserve"> igen tág fogalom, ez a szűkítés valójában nem korlátozza érdemben a bírói utat</w:t>
      </w:r>
      <w:r w:rsidR="00C569C7">
        <w:rPr>
          <w:rStyle w:val="Lbjegyzet-hivatkozs"/>
        </w:rPr>
        <w:footnoteReference w:id="53"/>
      </w:r>
      <w:r>
        <w:t>, s</w:t>
      </w:r>
      <w:r w:rsidR="00C569C7">
        <w:t xml:space="preserve"> továbbra is</w:t>
      </w:r>
      <w:r>
        <w:t xml:space="preserve"> </w:t>
      </w:r>
      <w:r w:rsidR="00C569C7">
        <w:t xml:space="preserve">egyértelműsíti </w:t>
      </w:r>
      <w:r>
        <w:t>a közigazgatási szerződés mint kétoldalú aktus</w:t>
      </w:r>
      <w:r>
        <w:rPr>
          <w:rStyle w:val="Lbjegyzet-hivatkozs"/>
        </w:rPr>
        <w:footnoteReference w:id="54"/>
      </w:r>
      <w:r>
        <w:t xml:space="preserve"> és a normatív közigazgatási aktusok megtámadásának </w:t>
      </w:r>
      <w:r w:rsidR="00F61AF6">
        <w:t xml:space="preserve">– szintén 2019-ben megkurtított – </w:t>
      </w:r>
      <w:r>
        <w:t>lehetőségét</w:t>
      </w:r>
      <w:r w:rsidR="00D80F10">
        <w:rPr>
          <w:rStyle w:val="Lbjegyzet-hivatkozs"/>
        </w:rPr>
        <w:footnoteReference w:id="55"/>
      </w:r>
      <w:r>
        <w:t xml:space="preserve">. </w:t>
      </w:r>
      <w:r w:rsidR="00145E1A">
        <w:t xml:space="preserve">A generálklauzula értelmezését segíti </w:t>
      </w:r>
      <w:r w:rsidR="00F61AF6">
        <w:t xml:space="preserve">még </w:t>
      </w:r>
      <w:r w:rsidR="00145E1A">
        <w:t>egyrészt az a felsorolás, amely azon közigazgatási cselekményeket sorolja fel, amelyek fő szabály szerint nem lehetnek közigazgatási jogvita tárgyai. Ezek ugyan közigazgatási cselekmények, de vagy a jogvédelmi igény hiánya, vagy a hatalommegosztás elvének sajátosságai akadályát jelentik itt a bíróság általi ellenőrzésnek.</w:t>
      </w:r>
      <w:r w:rsidR="00145E1A">
        <w:rPr>
          <w:rStyle w:val="Lbjegyzet-hivatkozs"/>
        </w:rPr>
        <w:footnoteReference w:id="56"/>
      </w:r>
      <w:r w:rsidR="00145E1A">
        <w:t xml:space="preserve"> </w:t>
      </w:r>
      <w:r w:rsidR="004F0F9B">
        <w:t>Ilyenek egyfelől a</w:t>
      </w:r>
      <w:r w:rsidR="00145E1A">
        <w:t xml:space="preserve"> járulékos közigazgatási cselekmények, </w:t>
      </w:r>
      <w:r w:rsidR="004F0F9B">
        <w:t xml:space="preserve">amelyek egy másik közigazgatási cselekmény megvalósítását szolgálják (pl. végzések, végrehajtási cselekmények) másfelől a </w:t>
      </w:r>
      <w:r w:rsidR="00145E1A">
        <w:t>kormány</w:t>
      </w:r>
      <w:r w:rsidR="004F0F9B">
        <w:t>zati aktusok, amelyek pedig elsősorban politikai tartalommal bírnak. A</w:t>
      </w:r>
      <w:r w:rsidR="00145E1A">
        <w:t xml:space="preserve">z irányítási </w:t>
      </w:r>
      <w:r w:rsidR="004F0F9B">
        <w:t xml:space="preserve">és vezetési </w:t>
      </w:r>
      <w:r w:rsidR="00145E1A">
        <w:t xml:space="preserve">jogviszonyokban hozott közigazgatási aktusok ellen </w:t>
      </w:r>
      <w:r w:rsidR="004F0F9B">
        <w:t xml:space="preserve">is </w:t>
      </w:r>
      <w:r w:rsidR="00145E1A">
        <w:t xml:space="preserve">csak külön </w:t>
      </w:r>
      <w:r w:rsidR="004F0F9B">
        <w:t xml:space="preserve">bírói utat engedő szabály esetén </w:t>
      </w:r>
      <w:r w:rsidR="00E05EF8">
        <w:t xml:space="preserve">lehet bírósághoz fordulni. </w:t>
      </w:r>
      <w:r w:rsidR="00145E1A">
        <w:t>A jogvédelmi hézagok elkerülése érdekében a közigazgatási szerződésekből vagy a közszolgálati jogviszonyokkal kapcsolatban felmerülő jogvitákat külön rendelkezés utalja közigazgatási bírói útra.</w:t>
      </w:r>
      <w:r w:rsidR="00145E1A">
        <w:rPr>
          <w:rStyle w:val="Lbjegyzet-hivatkozs"/>
        </w:rPr>
        <w:footnoteReference w:id="57"/>
      </w:r>
    </w:p>
    <w:p w14:paraId="1BD4B9B2" w14:textId="68886219" w:rsidR="008C01F8" w:rsidRDefault="00E05146" w:rsidP="00372473">
      <w:pPr>
        <w:pStyle w:val="fszveg"/>
      </w:pPr>
      <w:r>
        <w:t>[2</w:t>
      </w:r>
      <w:r w:rsidR="00232CCE">
        <w:t>4</w:t>
      </w:r>
      <w:r>
        <w:t xml:space="preserve">] </w:t>
      </w:r>
      <w:r w:rsidR="008C01F8">
        <w:t xml:space="preserve">A közigazgatási jogviták terjedelmét másfelől igen jelentős mértékben határozza meg az is, hogy a keresetlevélben mit kérhet a felperes, illetve ennek alapján milyen döntési jogkörrel rendelkezik a bíróság. </w:t>
      </w:r>
      <w:r w:rsidR="00372473">
        <w:t>A keresetben kérhető a közigazgatási cselekmény megsemmisítése, a közigazgatási cselekmény elmulasztásának megállapítása, a közigazgatási jogviszonyból eredő kötelezettség teljesítésére kötelezés, a közigazgatási szerződéses jogviszonnyal vagy a közszolgálati jogviszonnyal kapcsolatban okozott kár megtérítésére, illetve sérelemdíj megfizetésére kötelezés, valamint kivételes jelleggel mind a közigazgatási cselekmény megvalósításának megtiltása, mind a jogsértés tényének vagy a közigazgatási jogviszony szempontjából lényeges egyéb ténynek a megállapítása.</w:t>
      </w:r>
      <w:r w:rsidR="00372473">
        <w:rPr>
          <w:rStyle w:val="Lbjegyzet-hivatkozs"/>
        </w:rPr>
        <w:footnoteReference w:id="58"/>
      </w:r>
      <w:r w:rsidR="00372473">
        <w:t xml:space="preserve"> </w:t>
      </w:r>
      <w:r w:rsidR="000324C2">
        <w:t xml:space="preserve">A </w:t>
      </w:r>
      <w:r w:rsidR="00194CAA">
        <w:t xml:space="preserve">jogsérelem megállapítása esetén a </w:t>
      </w:r>
      <w:r w:rsidR="000324C2">
        <w:t>megtámadási, mulasztási és marasztalási keresetek</w:t>
      </w:r>
      <w:r w:rsidR="00194CAA">
        <w:t xml:space="preserve"> alapján</w:t>
      </w:r>
      <w:r w:rsidR="000324C2">
        <w:t xml:space="preserve"> mind a közigazgatási cselekmény megsemmisítését, mind a közigazgatási szerv marasztalását</w:t>
      </w:r>
      <w:r w:rsidR="00194CAA">
        <w:t>,</w:t>
      </w:r>
      <w:r w:rsidR="000324C2">
        <w:t xml:space="preserve"> illetve cselekvésre kötelezését el lehet érni. Ezen túl lehetősége van a bíróságnak megállapítási vagy tiltá</w:t>
      </w:r>
      <w:r w:rsidR="00194CAA">
        <w:t>s</w:t>
      </w:r>
      <w:r w:rsidR="000324C2">
        <w:t>i ítéleteket is hozni</w:t>
      </w:r>
      <w:r w:rsidR="008C01F8">
        <w:t>.</w:t>
      </w:r>
      <w:r w:rsidR="00194CAA">
        <w:rPr>
          <w:rStyle w:val="Lbjegyzet-hivatkozs"/>
        </w:rPr>
        <w:footnoteReference w:id="59"/>
      </w:r>
      <w:r w:rsidR="008C01F8">
        <w:t xml:space="preserve"> </w:t>
      </w:r>
      <w:r w:rsidR="009518FF">
        <w:t>A</w:t>
      </w:r>
      <w:r w:rsidR="008C01F8">
        <w:t xml:space="preserve"> </w:t>
      </w:r>
      <w:r w:rsidR="009518FF">
        <w:t xml:space="preserve">közigazgatási perjogi kodifikáció </w:t>
      </w:r>
      <w:r w:rsidR="008C01F8">
        <w:t>fontos jogpolitikai cél</w:t>
      </w:r>
      <w:r w:rsidR="009518FF">
        <w:t>ja</w:t>
      </w:r>
      <w:r w:rsidR="008C01F8">
        <w:t xml:space="preserve"> volt, hogy a bíróság, ha lehet, véglegesen szabályozza a jogviszonyt. Ezért </w:t>
      </w:r>
      <w:r w:rsidR="009518FF">
        <w:t>eredetileg</w:t>
      </w:r>
      <w:r w:rsidR="008C01F8">
        <w:t xml:space="preserve"> általában rendelkezésre áll</w:t>
      </w:r>
      <w:r w:rsidR="009518FF">
        <w:t>t</w:t>
      </w:r>
      <w:r w:rsidR="008C01F8">
        <w:t xml:space="preserve"> a </w:t>
      </w:r>
      <w:r w:rsidR="009518FF">
        <w:t>megváltoztatási jogkör</w:t>
      </w:r>
      <w:r w:rsidR="008C01F8">
        <w:t xml:space="preserve">: ha a szükséges tények rendelkezésre állnak, a tényállás tisztázott, és az ügy jellege lehetővé teszi, a bíróság módosítja a közigazgatási aktust. </w:t>
      </w:r>
      <w:r w:rsidR="009518FF">
        <w:t>A 2019-ben beiktatott negyedik feltétel, a kétfokú megelőző eljárás követelménye miatt azonban a megváltoztatás kivételessé vált, hiszen fellebbezésre – az adóigazgatási eljárásokon túl – igen ritkán kerülhet sor.</w:t>
      </w:r>
    </w:p>
    <w:p w14:paraId="576D52C6" w14:textId="328151FC" w:rsidR="00723176" w:rsidRDefault="009477D2" w:rsidP="006F4061">
      <w:pPr>
        <w:pStyle w:val="fszveg"/>
      </w:pPr>
      <w:r>
        <w:t xml:space="preserve">[25] </w:t>
      </w:r>
      <w:r w:rsidR="00723176">
        <w:t xml:space="preserve">A közigazgatási bíráskodás </w:t>
      </w:r>
      <w:r w:rsidR="000F6293">
        <w:t xml:space="preserve">jelentősége a jogállam szempontjából felbecsülhetetlen, s nemcsak a közigazgatás folyamatos expanziója, hanem az újfajta – kollektív – jogvédelmi igényekre is tekintettel folyamatosan nő. </w:t>
      </w:r>
      <w:r w:rsidR="00C92B04">
        <w:t>A közigazgatási bíráskodás sajátos funkciói révén meghatározó befolyást gyakorolnak a közigazgatási bíróságok a közigazgatás működésére és ezzel az állampolgárok és szervezeteik mindennapjaira is. Elég csak a nagy versenyfelügyeleti ügyekre, környezetvédelmi perekre vagy akár a családtámogatásokkal kapcsolatos tömeges perekre gondolni. Az uniós jog végrehajtásában is jelentős szerep jut a közigazgatási bíróságoknak. Nem véletlen, hogy e területen folyamatosak a változások</w:t>
      </w:r>
      <w:r w:rsidR="00AF1EB2">
        <w:t>, még azon országokban is, amelyek közigazgatási bíráskodása hosszú folyamatos múltra tekinthet vissza.</w:t>
      </w:r>
      <w:r w:rsidR="00C92B04">
        <w:t xml:space="preserve"> Magyarországon is </w:t>
      </w:r>
      <w:r w:rsidR="00723176">
        <w:t xml:space="preserve">a </w:t>
      </w:r>
      <w:r w:rsidR="00C92B04">
        <w:t>rendszerváltás óta eltelt évek</w:t>
      </w:r>
      <w:r w:rsidR="00723176">
        <w:t xml:space="preserve"> alatt hosszú és jelentős utat járt be</w:t>
      </w:r>
      <w:r w:rsidR="00AF1EB2">
        <w:t xml:space="preserve"> a közigazgatási bíráskodás</w:t>
      </w:r>
      <w:r w:rsidR="00723176">
        <w:t xml:space="preserve">. A </w:t>
      </w:r>
      <w:r>
        <w:t>kedvezőtlen külső körülmények ellenére</w:t>
      </w:r>
      <w:r w:rsidR="00723176">
        <w:t xml:space="preserve"> a közigazgatási bíráskodás</w:t>
      </w:r>
      <w:r>
        <w:t xml:space="preserve"> utat tört magának és mindig</w:t>
      </w:r>
      <w:r w:rsidR="00723176">
        <w:t xml:space="preserve"> </w:t>
      </w:r>
      <w:r w:rsidR="006F4061">
        <w:t xml:space="preserve">megtalálta </w:t>
      </w:r>
      <w:r w:rsidR="00723176">
        <w:t>a</w:t>
      </w:r>
      <w:r w:rsidR="006F4061">
        <w:t>nnak</w:t>
      </w:r>
      <w:r w:rsidR="00723176">
        <w:t xml:space="preserve"> módját, hogy a </w:t>
      </w:r>
      <w:r w:rsidR="006F4061">
        <w:t xml:space="preserve">polgári ügyekre szabott </w:t>
      </w:r>
      <w:r w:rsidR="00723176">
        <w:t>rendszert bővítse</w:t>
      </w:r>
      <w:r w:rsidR="006F4061">
        <w:t>,</w:t>
      </w:r>
      <w:r w:rsidR="00723176">
        <w:t xml:space="preserve"> továbbfejlessze. </w:t>
      </w:r>
      <w:r w:rsidR="006F4061">
        <w:t>A</w:t>
      </w:r>
      <w:r w:rsidR="00723176">
        <w:t xml:space="preserve"> </w:t>
      </w:r>
      <w:r w:rsidR="006F4061">
        <w:t xml:space="preserve">régi Pp. </w:t>
      </w:r>
      <w:r w:rsidR="00723176">
        <w:t>nem megfelelő rendelkezéseit</w:t>
      </w:r>
      <w:r w:rsidR="00C92B04">
        <w:t xml:space="preserve"> a közigazgatási bírák</w:t>
      </w:r>
      <w:r w:rsidR="00723176">
        <w:t xml:space="preserve"> átértelmezték és valamelyest alkalmassá tették a közigazgatási per</w:t>
      </w:r>
      <w:r w:rsidR="006F4061">
        <w:t>e</w:t>
      </w:r>
      <w:r w:rsidR="00723176">
        <w:t>k</w:t>
      </w:r>
      <w:r w:rsidR="006F4061">
        <w:t xml:space="preserve"> tárgyalásá</w:t>
      </w:r>
      <w:r w:rsidR="00723176">
        <w:t xml:space="preserve">ra. </w:t>
      </w:r>
      <w:r w:rsidR="00C92B04">
        <w:t>Megoldásaikat</w:t>
      </w:r>
      <w:r w:rsidR="00723176">
        <w:t xml:space="preserve"> a jogalkotó gyakran </w:t>
      </w:r>
      <w:r w:rsidR="006F4061">
        <w:t>kö</w:t>
      </w:r>
      <w:r w:rsidR="00723176">
        <w:t xml:space="preserve">vette, és </w:t>
      </w:r>
      <w:r w:rsidR="00C92B04">
        <w:t xml:space="preserve">azok szellemében </w:t>
      </w:r>
      <w:r w:rsidR="00723176">
        <w:t>módosít</w:t>
      </w:r>
      <w:r w:rsidR="00C92B04">
        <w:t xml:space="preserve">otta </w:t>
      </w:r>
      <w:r w:rsidR="00723176">
        <w:t>vagy kiegészít</w:t>
      </w:r>
      <w:r w:rsidR="00C92B04">
        <w:t>ette a szabályokat</w:t>
      </w:r>
      <w:r w:rsidR="00723176">
        <w:t xml:space="preserve">. </w:t>
      </w:r>
      <w:r w:rsidR="006F4061">
        <w:t>A Kp. igyekezett ezeket a vívmányokat átmenteni és a rendszert továbbfejleszteni. Természetesen hosszú időre van szükség ahhoz, hogy az újítások meghonosodjanak és valóban hatékony jogvédelmet garantáljanak</w:t>
      </w:r>
      <w:r w:rsidR="00AF1EB2">
        <w:t xml:space="preserve"> a bírói gyakorlat révén</w:t>
      </w:r>
      <w:r w:rsidR="006F4061">
        <w:t>.</w:t>
      </w:r>
    </w:p>
    <w:p w14:paraId="36D38429" w14:textId="77777777" w:rsidR="00856750" w:rsidRDefault="00856750" w:rsidP="00723176">
      <w:pPr>
        <w:pStyle w:val="fszveg"/>
      </w:pPr>
    </w:p>
    <w:p w14:paraId="6680130F" w14:textId="3F9B46E6" w:rsidR="00014C9F" w:rsidRPr="00A97B07" w:rsidRDefault="00D928AB" w:rsidP="00587759">
      <w:pPr>
        <w:pStyle w:val="fszveg"/>
        <w:ind w:firstLine="0"/>
      </w:pPr>
      <w:r>
        <w:br w:type="column"/>
      </w:r>
      <w:r w:rsidR="00014C9F" w:rsidRPr="00DF55DA">
        <w:rPr>
          <w:b/>
        </w:rPr>
        <w:t>Kapcsolódó szócikkek</w:t>
      </w:r>
    </w:p>
    <w:p w14:paraId="11BA2272" w14:textId="5AEBE6B1" w:rsidR="009D2386" w:rsidRDefault="00824F04" w:rsidP="007D0FD5">
      <w:pPr>
        <w:pStyle w:val="fszveg"/>
      </w:pPr>
      <w:r>
        <w:t xml:space="preserve">a közigazgatás a </w:t>
      </w:r>
      <w:r w:rsidR="0005768E">
        <w:t xml:space="preserve">hatalommegosztás </w:t>
      </w:r>
      <w:r>
        <w:t xml:space="preserve">rendszerében </w:t>
      </w:r>
      <w:r w:rsidR="00014C9F" w:rsidRPr="00A97B07">
        <w:t>ǀ</w:t>
      </w:r>
      <w:r w:rsidR="00014C9F">
        <w:t xml:space="preserve"> </w:t>
      </w:r>
      <w:r w:rsidR="0005768E">
        <w:t xml:space="preserve">igazságszolgáltatás </w:t>
      </w:r>
      <w:r w:rsidR="0005768E" w:rsidRPr="00A97B07">
        <w:t>ǀ</w:t>
      </w:r>
      <w:r w:rsidR="0005768E">
        <w:t xml:space="preserve"> közigazgatás feletti kontroll </w:t>
      </w:r>
      <w:r w:rsidR="00014C9F" w:rsidRPr="00A97B07">
        <w:t xml:space="preserve">ǀ </w:t>
      </w:r>
      <w:r w:rsidR="0005768E">
        <w:t xml:space="preserve">tisztességes eljárás </w:t>
      </w:r>
      <w:r w:rsidR="00014C9F" w:rsidRPr="00A97B07">
        <w:t>ǀ</w:t>
      </w:r>
      <w:r w:rsidR="00014C9F">
        <w:t xml:space="preserve"> </w:t>
      </w:r>
      <w:r w:rsidR="0005768E">
        <w:t>szubjektív jogvédelmi eszközök</w:t>
      </w:r>
      <w:r w:rsidR="00014C9F" w:rsidRPr="00A97B07">
        <w:t xml:space="preserve"> ǀ </w:t>
      </w:r>
      <w:r w:rsidR="0005768E">
        <w:t>közigazgatási per</w:t>
      </w:r>
      <w:r w:rsidR="005766E5">
        <w:t xml:space="preserve"> </w:t>
      </w:r>
      <w:r w:rsidR="005766E5" w:rsidRPr="00A97B07">
        <w:t>ǀ</w:t>
      </w:r>
      <w:r w:rsidR="005766E5">
        <w:t xml:space="preserve"> </w:t>
      </w:r>
      <w:r>
        <w:t>közigazgatási szerződés</w:t>
      </w:r>
      <w:r w:rsidR="0005768E">
        <w:t xml:space="preserve"> </w:t>
      </w:r>
      <w:r w:rsidR="00014C9F" w:rsidRPr="00A97B07">
        <w:t>ǀ</w:t>
      </w:r>
      <w:r w:rsidR="00014C9F">
        <w:t xml:space="preserve"> </w:t>
      </w:r>
    </w:p>
    <w:sectPr w:rsidR="009D2386" w:rsidSect="00760176">
      <w:headerReference w:type="default" r:id="rId11"/>
      <w:footerReference w:type="defaul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C4452" w14:textId="77777777" w:rsidR="00FC73BB" w:rsidRDefault="00FC73BB" w:rsidP="00F53D43">
      <w:pPr>
        <w:spacing w:after="0" w:line="240" w:lineRule="auto"/>
      </w:pPr>
      <w:r>
        <w:separator/>
      </w:r>
    </w:p>
  </w:endnote>
  <w:endnote w:type="continuationSeparator" w:id="0">
    <w:p w14:paraId="519872C7" w14:textId="77777777" w:rsidR="00FC73BB" w:rsidRDefault="00FC73BB" w:rsidP="00F53D43">
      <w:pPr>
        <w:spacing w:after="0" w:line="240" w:lineRule="auto"/>
      </w:pPr>
      <w:r>
        <w:continuationSeparator/>
      </w:r>
    </w:p>
  </w:endnote>
  <w:endnote w:type="continuationNotice" w:id="1">
    <w:p w14:paraId="7A63231B" w14:textId="77777777" w:rsidR="00FC73BB" w:rsidRDefault="00FC7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Palatino">
    <w:altName w:val="Times New Roman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ECF9" w14:textId="77777777" w:rsidR="0011003E" w:rsidRDefault="001100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1FC7" w14:textId="77777777" w:rsidR="00FC73BB" w:rsidRDefault="00FC73BB" w:rsidP="002A02AB">
      <w:pPr>
        <w:spacing w:after="0" w:line="240" w:lineRule="auto"/>
      </w:pPr>
      <w:r>
        <w:separator/>
      </w:r>
    </w:p>
  </w:footnote>
  <w:footnote w:type="continuationSeparator" w:id="0">
    <w:p w14:paraId="620E544D" w14:textId="77777777" w:rsidR="00FC73BB" w:rsidRDefault="00FC73BB" w:rsidP="002A02AB">
      <w:pPr>
        <w:spacing w:after="0" w:line="240" w:lineRule="auto"/>
      </w:pPr>
      <w:r>
        <w:continuationSeparator/>
      </w:r>
    </w:p>
  </w:footnote>
  <w:footnote w:type="continuationNotice" w:id="1">
    <w:p w14:paraId="50DB12C4" w14:textId="77777777" w:rsidR="00FC73BB" w:rsidRDefault="00FC73BB" w:rsidP="002A02AB">
      <w:pPr>
        <w:spacing w:after="0" w:line="240" w:lineRule="auto"/>
      </w:pPr>
    </w:p>
  </w:footnote>
  <w:footnote w:id="2">
    <w:p w14:paraId="1FEB7AAC" w14:textId="66E39D8E" w:rsidR="00D53631" w:rsidRDefault="00D53631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B0608" w:rsidRPr="00FB0608">
        <w:rPr>
          <w:iCs/>
          <w:smallCaps/>
          <w:szCs w:val="18"/>
        </w:rPr>
        <w:t>Trócsányi</w:t>
      </w:r>
      <w:r w:rsidR="00FB0608" w:rsidRPr="00FB0608">
        <w:rPr>
          <w:iCs/>
          <w:szCs w:val="18"/>
        </w:rPr>
        <w:t xml:space="preserve"> László</w:t>
      </w:r>
      <w:r w:rsidR="003970F6">
        <w:rPr>
          <w:iCs/>
          <w:szCs w:val="18"/>
        </w:rPr>
        <w:t>,</w:t>
      </w:r>
      <w:r w:rsidR="00FB0608" w:rsidRPr="00203CF7">
        <w:rPr>
          <w:szCs w:val="18"/>
        </w:rPr>
        <w:t xml:space="preserve"> </w:t>
      </w:r>
      <w:r w:rsidR="003970F6">
        <w:rPr>
          <w:szCs w:val="18"/>
        </w:rPr>
        <w:t>„</w:t>
      </w:r>
      <w:r w:rsidR="00FB0608" w:rsidRPr="00FB0608">
        <w:rPr>
          <w:i/>
          <w:iCs/>
          <w:szCs w:val="18"/>
        </w:rPr>
        <w:t>A közigazgatási bíráskodás egyes elméleti és gyakorlati kérdései</w:t>
      </w:r>
      <w:r w:rsidR="003970F6">
        <w:rPr>
          <w:i/>
          <w:iCs/>
          <w:szCs w:val="18"/>
        </w:rPr>
        <w:t>”</w:t>
      </w:r>
      <w:r w:rsidR="00FB0608" w:rsidRPr="00203CF7">
        <w:rPr>
          <w:szCs w:val="18"/>
        </w:rPr>
        <w:t>, Budapest</w:t>
      </w:r>
      <w:r w:rsidR="00041133">
        <w:rPr>
          <w:szCs w:val="18"/>
        </w:rPr>
        <w:t>: KJK,</w:t>
      </w:r>
      <w:r w:rsidR="00FB0608" w:rsidRPr="00203CF7">
        <w:rPr>
          <w:szCs w:val="18"/>
        </w:rPr>
        <w:t xml:space="preserve"> 1990.</w:t>
      </w:r>
    </w:p>
  </w:footnote>
  <w:footnote w:id="3">
    <w:p w14:paraId="5AE4FBCD" w14:textId="0AFCF82F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53631">
        <w:rPr>
          <w:rFonts w:cs="Times New Roman"/>
          <w:lang w:val="fr-FR"/>
        </w:rPr>
        <w:t xml:space="preserve">Henrion de </w:t>
      </w:r>
      <w:r w:rsidRPr="00D53631">
        <w:rPr>
          <w:rFonts w:cs="Times New Roman"/>
          <w:smallCaps/>
          <w:lang w:val="fr-FR"/>
        </w:rPr>
        <w:t>Pansley</w:t>
      </w:r>
      <w:r w:rsidR="00A63E43">
        <w:t>, „</w:t>
      </w:r>
      <w:r w:rsidRPr="00D53631">
        <w:rPr>
          <w:rFonts w:cs="Times New Roman"/>
          <w:i/>
          <w:iCs/>
          <w:lang w:val="fr-FR"/>
        </w:rPr>
        <w:t xml:space="preserve">De l'autorité judiciaire en </w:t>
      </w:r>
      <w:r w:rsidR="00A63E43">
        <w:rPr>
          <w:rFonts w:cs="Times New Roman"/>
          <w:i/>
          <w:iCs/>
          <w:lang w:val="fr-FR"/>
        </w:rPr>
        <w:t>France</w:t>
      </w:r>
      <w:r w:rsidR="003F4387" w:rsidRPr="003F4387">
        <w:rPr>
          <w:i/>
          <w:iCs/>
        </w:rPr>
        <w:t>”</w:t>
      </w:r>
      <w:r w:rsidRPr="00D53631">
        <w:rPr>
          <w:rFonts w:cs="Times New Roman"/>
          <w:lang w:val="fr-FR"/>
        </w:rPr>
        <w:t xml:space="preserve"> (Paris, 1818)</w:t>
      </w:r>
      <w:r w:rsidRPr="00306563">
        <w:t xml:space="preserve"> </w:t>
      </w:r>
      <w:r>
        <w:t>c. könyvéből szállóig</w:t>
      </w:r>
      <w:r w:rsidR="003F4387">
        <w:t>é</w:t>
      </w:r>
      <w:r>
        <w:t xml:space="preserve">vé válva: </w:t>
      </w:r>
      <w:r w:rsidRPr="003F4387">
        <w:rPr>
          <w:i/>
          <w:iCs/>
        </w:rPr>
        <w:t>„juger l’administration, c’est encore administrer”</w:t>
      </w:r>
      <w:r>
        <w:t>.</w:t>
      </w:r>
    </w:p>
  </w:footnote>
  <w:footnote w:id="4">
    <w:p w14:paraId="13AEFD12" w14:textId="77D93164" w:rsidR="00EA633C" w:rsidRDefault="00EA633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6594B">
        <w:rPr>
          <w:smallCaps/>
        </w:rPr>
        <w:t>Darák</w:t>
      </w:r>
      <w:r>
        <w:t xml:space="preserve"> Péter: „</w:t>
      </w:r>
      <w:r w:rsidRPr="00F62A40">
        <w:rPr>
          <w:i/>
          <w:iCs/>
        </w:rPr>
        <w:t>A magyar közigazgatási bíráskodás európai integrációja</w:t>
      </w:r>
      <w:r>
        <w:t xml:space="preserve">.” </w:t>
      </w:r>
      <w:r w:rsidR="00C42922">
        <w:t>[</w:t>
      </w:r>
      <w:r>
        <w:t>Doktori értekezés</w:t>
      </w:r>
      <w:r w:rsidR="00C42922">
        <w:t>]</w:t>
      </w:r>
      <w:r>
        <w:t xml:space="preserve"> Pécs, 2007</w:t>
      </w:r>
      <w:r w:rsidR="00EC50B5">
        <w:t>, 174.</w:t>
      </w:r>
      <w:r>
        <w:t xml:space="preserve"> </w:t>
      </w:r>
      <w:hyperlink r:id="rId1" w:history="1">
        <w:r w:rsidRPr="0093144A">
          <w:rPr>
            <w:rStyle w:val="Hiperhivatkozs"/>
            <w:rFonts w:cstheme="minorHAnsi"/>
          </w:rPr>
          <w:t>https://pea.lib.pte.hu/handle/pea/17611</w:t>
        </w:r>
      </w:hyperlink>
    </w:p>
  </w:footnote>
  <w:footnote w:id="5">
    <w:p w14:paraId="22B170F0" w14:textId="03068B85" w:rsidR="002250B8" w:rsidRDefault="002250B8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0772E">
        <w:t xml:space="preserve">F. </w:t>
      </w:r>
      <w:r w:rsidRPr="00FA11AC">
        <w:rPr>
          <w:rFonts w:cs="Times New Roman"/>
          <w:smallCaps/>
        </w:rPr>
        <w:t xml:space="preserve">Rozsnyai </w:t>
      </w:r>
      <w:r w:rsidRPr="0040772E">
        <w:t>Krisztina</w:t>
      </w:r>
      <w:r>
        <w:t xml:space="preserve"> (2016)</w:t>
      </w:r>
      <w:r w:rsidR="00322BBD">
        <w:t>, „</w:t>
      </w:r>
      <w:r w:rsidRPr="0040772E">
        <w:t>Perjogi önállósulás és különbírósági jelleg a közigazgatási bíráskodásban</w:t>
      </w:r>
      <w:r w:rsidR="00322BBD">
        <w:t>”,</w:t>
      </w:r>
      <w:r w:rsidRPr="0040772E">
        <w:t xml:space="preserve"> </w:t>
      </w:r>
      <w:r w:rsidRPr="0040772E">
        <w:rPr>
          <w:i/>
        </w:rPr>
        <w:t>Közjogi Szemle</w:t>
      </w:r>
      <w:r>
        <w:t xml:space="preserve"> (2016) 4., 3–9.</w:t>
      </w:r>
    </w:p>
  </w:footnote>
  <w:footnote w:id="6">
    <w:p w14:paraId="1B70C273" w14:textId="44EF30AC" w:rsidR="00B9575D" w:rsidRDefault="00B9575D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5A29">
        <w:t>ld</w:t>
      </w:r>
      <w:r w:rsidR="00E25A29" w:rsidRPr="0066594B">
        <w:rPr>
          <w:smallCaps/>
        </w:rPr>
        <w:t xml:space="preserve">. </w:t>
      </w:r>
      <w:r w:rsidR="00766456" w:rsidRPr="0066594B">
        <w:rPr>
          <w:smallCaps/>
        </w:rPr>
        <w:t>Darák</w:t>
      </w:r>
      <w:r w:rsidR="00766456">
        <w:t xml:space="preserve"> Péter: </w:t>
      </w:r>
      <w:r w:rsidR="00F62A40">
        <w:t>„</w:t>
      </w:r>
      <w:r w:rsidR="00766456" w:rsidRPr="00F62A40">
        <w:rPr>
          <w:i/>
          <w:iCs/>
        </w:rPr>
        <w:t>A magyar közigazgatási bíráskodás európai integrációja</w:t>
      </w:r>
      <w:r w:rsidR="00766456">
        <w:t>.</w:t>
      </w:r>
      <w:r w:rsidR="00F62A40">
        <w:t>”</w:t>
      </w:r>
      <w:r w:rsidR="00766456">
        <w:t xml:space="preserve"> Doktori értekezés, </w:t>
      </w:r>
      <w:r w:rsidR="0066594B">
        <w:t xml:space="preserve">Pécs, </w:t>
      </w:r>
      <w:r w:rsidR="00766456">
        <w:t xml:space="preserve">2007. </w:t>
      </w:r>
      <w:hyperlink r:id="rId2" w:history="1">
        <w:r w:rsidR="0066594B" w:rsidRPr="0093144A">
          <w:rPr>
            <w:rStyle w:val="Hiperhivatkozs"/>
            <w:rFonts w:cstheme="minorHAnsi"/>
          </w:rPr>
          <w:t>https://pea.lib.pte.hu/handle/pea/17611</w:t>
        </w:r>
      </w:hyperlink>
      <w:r w:rsidR="0066594B">
        <w:t>.</w:t>
      </w:r>
    </w:p>
  </w:footnote>
  <w:footnote w:id="7">
    <w:p w14:paraId="2949A998" w14:textId="33984EFF" w:rsidR="00B9575D" w:rsidRDefault="00B9575D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5D3ADD" w:rsidRPr="00867234">
        <w:rPr>
          <w:smallCaps/>
        </w:rPr>
        <w:t xml:space="preserve">Kovács </w:t>
      </w:r>
      <w:r w:rsidR="005D3ADD">
        <w:t>András György – B</w:t>
      </w:r>
      <w:r w:rsidR="005D3ADD" w:rsidRPr="00867234">
        <w:rPr>
          <w:smallCaps/>
        </w:rPr>
        <w:t>arabás</w:t>
      </w:r>
      <w:r w:rsidR="005D3ADD">
        <w:t xml:space="preserve"> Gergely</w:t>
      </w:r>
      <w:r w:rsidR="00867234">
        <w:t xml:space="preserve"> (2019)</w:t>
      </w:r>
      <w:r w:rsidR="00F62A40">
        <w:t>,</w:t>
      </w:r>
      <w:r w:rsidR="005D3ADD">
        <w:t xml:space="preserve"> </w:t>
      </w:r>
      <w:r w:rsidR="00F62A40">
        <w:t>„</w:t>
      </w:r>
      <w:r w:rsidR="005D3ADD">
        <w:t>Az előzetes döntéshozatali eljárások, mint a bírói függetlenség fokmérője a közigazgatási ítélkezésben.</w:t>
      </w:r>
      <w:r w:rsidR="00F62A40">
        <w:t>”</w:t>
      </w:r>
      <w:r w:rsidR="005D3ADD">
        <w:t xml:space="preserve"> </w:t>
      </w:r>
      <w:r w:rsidR="005D3ADD" w:rsidRPr="005D3ADD">
        <w:rPr>
          <w:i/>
          <w:iCs/>
        </w:rPr>
        <w:t>Jogtudományi Közlöny</w:t>
      </w:r>
      <w:r w:rsidR="005D3ADD">
        <w:t xml:space="preserve"> 74: 10.</w:t>
      </w:r>
      <w:r w:rsidR="00867234">
        <w:t>,</w:t>
      </w:r>
      <w:r w:rsidR="005D3ADD">
        <w:t xml:space="preserve"> 387-404.</w:t>
      </w:r>
    </w:p>
  </w:footnote>
  <w:footnote w:id="8">
    <w:p w14:paraId="38685908" w14:textId="77777777" w:rsidR="00322BBD" w:rsidRDefault="0011003E" w:rsidP="00854A18">
      <w:pPr>
        <w:pStyle w:val="fszveg"/>
        <w:spacing w:line="240" w:lineRule="auto"/>
        <w:ind w:firstLine="0"/>
      </w:pPr>
      <w:r>
        <w:rPr>
          <w:rStyle w:val="Lbjegyzet-hivatkozs"/>
        </w:rPr>
        <w:footnoteRef/>
      </w:r>
      <w:r>
        <w:t xml:space="preserve"> A leglényegesebbek: </w:t>
      </w:r>
    </w:p>
    <w:p w14:paraId="3E361F00" w14:textId="77777777" w:rsidR="00322BBD" w:rsidRDefault="0011003E" w:rsidP="00854A18">
      <w:pPr>
        <w:pStyle w:val="fszveg"/>
        <w:spacing w:line="240" w:lineRule="auto"/>
        <w:ind w:firstLine="0"/>
      </w:pPr>
      <w:r w:rsidRPr="007D0FD5">
        <w:t xml:space="preserve">CM/Rec(2003) 16 számú ajánlás a bírói és közigazgatási döntések közigazgatási jogi végrehajtásáról; </w:t>
      </w:r>
    </w:p>
    <w:p w14:paraId="45C851C5" w14:textId="77777777" w:rsidR="00322BBD" w:rsidRDefault="0011003E" w:rsidP="00854A18">
      <w:pPr>
        <w:pStyle w:val="fszveg"/>
        <w:spacing w:line="240" w:lineRule="auto"/>
        <w:ind w:firstLine="0"/>
      </w:pPr>
      <w:r w:rsidRPr="007D0FD5">
        <w:t xml:space="preserve">R (2001) 9. számú ajánlás a közigazgatási hatóságok és magánfelek közötti pereskedés alternatíváiról; </w:t>
      </w:r>
    </w:p>
    <w:p w14:paraId="5EB87A15" w14:textId="77777777" w:rsidR="00322BBD" w:rsidRDefault="0011003E" w:rsidP="00854A18">
      <w:pPr>
        <w:pStyle w:val="fszveg"/>
        <w:spacing w:line="240" w:lineRule="auto"/>
        <w:ind w:firstLine="0"/>
      </w:pPr>
      <w:r w:rsidRPr="007D0FD5">
        <w:t xml:space="preserve">R (94) 12. számú ajánlás a bírák függetlenségéről, hatékonyságáról és szerepéről; </w:t>
      </w:r>
    </w:p>
    <w:p w14:paraId="6B38A625" w14:textId="77777777" w:rsidR="00322BBD" w:rsidRDefault="0011003E" w:rsidP="00854A18">
      <w:pPr>
        <w:pStyle w:val="fszveg"/>
        <w:spacing w:line="240" w:lineRule="auto"/>
        <w:ind w:firstLine="0"/>
      </w:pPr>
      <w:r w:rsidRPr="007D0FD5">
        <w:t xml:space="preserve">R (91) 1. számú ajánlás a közigazgatási szankciókról; </w:t>
      </w:r>
    </w:p>
    <w:p w14:paraId="0BCED4AA" w14:textId="77777777" w:rsidR="00322BBD" w:rsidRDefault="0011003E" w:rsidP="00854A18">
      <w:pPr>
        <w:pStyle w:val="fszveg"/>
        <w:spacing w:line="240" w:lineRule="auto"/>
        <w:ind w:firstLine="0"/>
      </w:pPr>
      <w:r w:rsidRPr="007D0FD5">
        <w:t>R (89) 8. számú ajánlás a közigazgatási ügyekben való ideiglenes bírósági védelemről;</w:t>
      </w:r>
      <w:r>
        <w:t xml:space="preserve"> </w:t>
      </w:r>
    </w:p>
    <w:p w14:paraId="79909DF2" w14:textId="774ACE07" w:rsidR="0011003E" w:rsidRDefault="0011003E" w:rsidP="00854A18">
      <w:pPr>
        <w:pStyle w:val="fszveg"/>
        <w:spacing w:line="240" w:lineRule="auto"/>
        <w:ind w:firstLine="0"/>
      </w:pPr>
      <w:r w:rsidRPr="007D0FD5">
        <w:t>R (86) 12. számú ajánlás a bíróságokra nehezedő túlságosan nagy munkaterhek megakadályozására és csökkentésére irányuló intézkedésekről.</w:t>
      </w:r>
    </w:p>
  </w:footnote>
  <w:footnote w:id="9">
    <w:p w14:paraId="0A8FF786" w14:textId="77777777" w:rsidR="0011003E" w:rsidRDefault="0011003E" w:rsidP="00854A18">
      <w:pPr>
        <w:pStyle w:val="fszveg"/>
        <w:spacing w:line="240" w:lineRule="auto"/>
        <w:ind w:firstLine="0"/>
      </w:pPr>
      <w:r>
        <w:rPr>
          <w:rStyle w:val="Lbjegyzet-hivatkozs"/>
        </w:rPr>
        <w:footnoteRef/>
      </w:r>
      <w:r>
        <w:t xml:space="preserve"> </w:t>
      </w:r>
      <w:r w:rsidRPr="007D0FD5">
        <w:t>Ennek főbb megállapításai a következőképpen foglalhatók össze:</w:t>
      </w:r>
    </w:p>
    <w:p w14:paraId="7035FC4C" w14:textId="77777777" w:rsidR="00A91960" w:rsidRDefault="0011003E" w:rsidP="00854A18">
      <w:pPr>
        <w:pStyle w:val="fszveg"/>
        <w:spacing w:line="240" w:lineRule="auto"/>
        <w:ind w:firstLine="0"/>
      </w:pPr>
      <w:r w:rsidRPr="007D0FD5">
        <w:t>1. A bíróság által felülvizsgálható minden közigazgatási aktus.</w:t>
      </w:r>
    </w:p>
    <w:p w14:paraId="7BC68814" w14:textId="134243F6" w:rsidR="0011003E" w:rsidRDefault="0011003E" w:rsidP="00854A18">
      <w:pPr>
        <w:pStyle w:val="fszveg"/>
        <w:spacing w:line="240" w:lineRule="auto"/>
        <w:ind w:firstLine="0"/>
      </w:pPr>
      <w:r w:rsidRPr="007D0FD5">
        <w:t>2. A bírósági felülvizsgálatot legalább a természetes és jogi személyek számára meg kell nyitni. E körön túl a tagállamoknak javasolja megvizsgálni, hogy meg lehet-e nyitni a felülvizsgálat lehetőségét egyesületek és más, közösségi vagy kollektív érdekeket védő szervezetek, személyek előtt.</w:t>
      </w:r>
    </w:p>
    <w:p w14:paraId="1513A319" w14:textId="0A5F5E2E" w:rsidR="0011003E" w:rsidRDefault="0011003E" w:rsidP="00854A18">
      <w:pPr>
        <w:pStyle w:val="fszveg"/>
        <w:spacing w:line="240" w:lineRule="auto"/>
        <w:ind w:firstLine="0"/>
      </w:pPr>
      <w:r w:rsidRPr="007D0FD5">
        <w:t xml:space="preserve">3. A független és pártatlan bíróság olyan testület, amelyet jogszabály hoz létre, és függetlensége és pártatlansága az R (94) 12. számú ajánlásnak megfelelően biztosított. A bíróság lehet közigazgatási ügyekre létrehozott bíróság vagy a rendes bírósági rendszer része. </w:t>
      </w:r>
    </w:p>
    <w:p w14:paraId="6230F51D" w14:textId="77777777" w:rsidR="0011003E" w:rsidRDefault="0011003E" w:rsidP="00854A18">
      <w:pPr>
        <w:pStyle w:val="fszveg"/>
        <w:spacing w:line="240" w:lineRule="auto"/>
        <w:ind w:firstLine="0"/>
      </w:pPr>
      <w:r w:rsidRPr="007D0FD5">
        <w:t>4. A bíróság eljárása fair eljárás, észszerű hosszúságú és nyilvános.</w:t>
      </w:r>
      <w:r>
        <w:t xml:space="preserve"> </w:t>
      </w:r>
    </w:p>
    <w:p w14:paraId="2506CF49" w14:textId="7D7036BC" w:rsidR="0011003E" w:rsidRDefault="0011003E" w:rsidP="00854A18">
      <w:pPr>
        <w:pStyle w:val="fszveg"/>
        <w:spacing w:line="240" w:lineRule="auto"/>
        <w:ind w:firstLine="0"/>
      </w:pPr>
      <w:r w:rsidRPr="007D0FD5">
        <w:t xml:space="preserve">5. A bírósági felülvizsgálatnak hatékony jogorvoslati eszköz kell </w:t>
      </w:r>
      <w:r>
        <w:t>hogy legyen</w:t>
      </w:r>
      <w:r w:rsidRPr="007D0FD5">
        <w:t>.</w:t>
      </w:r>
    </w:p>
  </w:footnote>
  <w:footnote w:id="10">
    <w:p w14:paraId="2D6E1EC8" w14:textId="3A57B409" w:rsidR="007F3C83" w:rsidRDefault="007F3C83" w:rsidP="0072383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272E72" w:rsidRPr="00E945CF">
        <w:rPr>
          <w:smallCaps/>
        </w:rPr>
        <w:t>Patyi</w:t>
      </w:r>
      <w:r w:rsidR="00272E72">
        <w:t xml:space="preserve"> András „Közigazgatási bíráskodás</w:t>
      </w:r>
      <w:r w:rsidR="00272E72" w:rsidRPr="00E822CA">
        <w:rPr>
          <w:i/>
          <w:iCs/>
        </w:rPr>
        <w:t xml:space="preserve"> de constitutione ferenda</w:t>
      </w:r>
      <w:r w:rsidR="00272E72" w:rsidRPr="00E822CA">
        <w:t>”</w:t>
      </w:r>
      <w:r w:rsidR="00272E72">
        <w:t xml:space="preserve">. In: </w:t>
      </w:r>
      <w:r w:rsidR="00272E72" w:rsidRPr="00D31158">
        <w:rPr>
          <w:rFonts w:eastAsiaTheme="minorHAnsi"/>
          <w:smallCaps/>
          <w:lang w:eastAsia="en-US"/>
        </w:rPr>
        <w:t>Varga Zs</w:t>
      </w:r>
      <w:r w:rsidR="00272E72">
        <w:rPr>
          <w:i/>
          <w:szCs w:val="18"/>
        </w:rPr>
        <w:t xml:space="preserve">. </w:t>
      </w:r>
      <w:r w:rsidR="00272E72" w:rsidRPr="00D31158">
        <w:rPr>
          <w:iCs/>
          <w:szCs w:val="18"/>
        </w:rPr>
        <w:t>András</w:t>
      </w:r>
      <w:r w:rsidR="00272E72">
        <w:rPr>
          <w:i/>
          <w:szCs w:val="18"/>
        </w:rPr>
        <w:t xml:space="preserve"> –</w:t>
      </w:r>
      <w:r w:rsidR="00272E72" w:rsidRPr="00203CF7">
        <w:rPr>
          <w:i/>
          <w:szCs w:val="18"/>
        </w:rPr>
        <w:t xml:space="preserve"> </w:t>
      </w:r>
      <w:r w:rsidR="00272E72" w:rsidRPr="00D31158">
        <w:rPr>
          <w:rFonts w:eastAsiaTheme="minorHAnsi"/>
          <w:smallCaps/>
          <w:lang w:eastAsia="en-US"/>
        </w:rPr>
        <w:t xml:space="preserve">Fröhlich </w:t>
      </w:r>
      <w:r w:rsidR="00272E72" w:rsidRPr="00D31158">
        <w:rPr>
          <w:iCs/>
          <w:szCs w:val="18"/>
        </w:rPr>
        <w:t>Johanna</w:t>
      </w:r>
      <w:r w:rsidR="00272E72" w:rsidRPr="00D31158">
        <w:rPr>
          <w:i/>
          <w:szCs w:val="18"/>
        </w:rPr>
        <w:t xml:space="preserve">, „Közérdekvédelem – A közigazgatási bíráskodás múltja és jövője, </w:t>
      </w:r>
      <w:r w:rsidR="00272E72" w:rsidRPr="00203CF7">
        <w:rPr>
          <w:szCs w:val="18"/>
        </w:rPr>
        <w:t>Budapest</w:t>
      </w:r>
      <w:r w:rsidR="00272E72">
        <w:rPr>
          <w:szCs w:val="18"/>
        </w:rPr>
        <w:t>:</w:t>
      </w:r>
      <w:r w:rsidR="00272E72" w:rsidRPr="00203CF7">
        <w:rPr>
          <w:szCs w:val="18"/>
        </w:rPr>
        <w:t xml:space="preserve"> </w:t>
      </w:r>
      <w:r w:rsidR="00272E72">
        <w:rPr>
          <w:szCs w:val="18"/>
        </w:rPr>
        <w:t xml:space="preserve">PPKE, </w:t>
      </w:r>
      <w:r w:rsidR="00272E72" w:rsidRPr="00203CF7">
        <w:rPr>
          <w:szCs w:val="18"/>
        </w:rPr>
        <w:t>2011</w:t>
      </w:r>
      <w:r w:rsidR="00272E72">
        <w:t>, 4</w:t>
      </w:r>
      <w:r w:rsidR="006853F4">
        <w:t>7</w:t>
      </w:r>
      <w:r w:rsidR="00272E72">
        <w:t>-</w:t>
      </w:r>
      <w:r w:rsidR="006853F4">
        <w:t>51</w:t>
      </w:r>
      <w:r w:rsidR="00272E72">
        <w:t>.</w:t>
      </w:r>
    </w:p>
  </w:footnote>
  <w:footnote w:id="11">
    <w:p w14:paraId="1A5A0ED1" w14:textId="5DF9A9B6" w:rsidR="00474689" w:rsidRDefault="00474689">
      <w:pPr>
        <w:pStyle w:val="Lbjegyzetszveg"/>
      </w:pPr>
      <w:r>
        <w:rPr>
          <w:rStyle w:val="Lbjegyzet-hivatkozs"/>
        </w:rPr>
        <w:footnoteRef/>
      </w:r>
      <w:r>
        <w:t xml:space="preserve"> Az egyik ilyen a jogállamiság elvét kimondó B) cikk (1) bekezdése, illetve az ezen elv részelemét képező, a hatalmi ágak elválasztását kimondó tétel [C) cikk (1) bekezdés], valamint a hatósági és más közigazgatási döntésekkel szembeni jogorvoslathoz való jogot kimondó XXVIII. cikk (7) bekezdése. A közigazgatási bíráskodás számára fontos szerepet játszik továbbá az Alaptörvény XXVIII. cikkében foglalt tisztességes eljárás alapelve, amelyet a közigazgatási perjogi szabályoknak, illetve az azokat alkalmazó bíróságoknak érvényre kell juttatniuk.</w:t>
      </w:r>
    </w:p>
  </w:footnote>
  <w:footnote w:id="12">
    <w:p w14:paraId="6A753892" w14:textId="4D362693" w:rsidR="004B7955" w:rsidRDefault="004B7955" w:rsidP="0072383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23839">
        <w:rPr>
          <w:smallCaps/>
        </w:rPr>
        <w:t xml:space="preserve">Sólyom </w:t>
      </w:r>
      <w:r>
        <w:t xml:space="preserve">László: Az </w:t>
      </w:r>
      <w:r w:rsidR="00552675">
        <w:t>alkotmánybíráskodás kezdetei Magyarországon</w:t>
      </w:r>
      <w:r w:rsidR="00153461">
        <w:t>. Budapest: Osiris, 2001, 602.</w:t>
      </w:r>
    </w:p>
  </w:footnote>
  <w:footnote w:id="13">
    <w:p w14:paraId="425C4148" w14:textId="77777777" w:rsidR="00DF4275" w:rsidRDefault="00DF4275" w:rsidP="00DF427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155CE">
        <w:rPr>
          <w:smallCaps/>
        </w:rPr>
        <w:t>Bándi</w:t>
      </w:r>
      <w:r>
        <w:rPr>
          <w:smallCaps/>
        </w:rPr>
        <w:t xml:space="preserve"> </w:t>
      </w:r>
      <w:r w:rsidRPr="00707BF8">
        <w:t xml:space="preserve">Gyula </w:t>
      </w:r>
      <w:r>
        <w:t>„</w:t>
      </w:r>
      <w:r w:rsidRPr="00707BF8">
        <w:t>A környezetvédelmi közigazgatási hatósági eljárás fogalmáról</w:t>
      </w:r>
      <w:r>
        <w:t>”</w:t>
      </w:r>
      <w:r w:rsidRPr="00707BF8">
        <w:t xml:space="preserve"> Közigazgatási Szemle</w:t>
      </w:r>
      <w:r>
        <w:t xml:space="preserve"> 2007/3. 2007,</w:t>
      </w:r>
      <w:r w:rsidRPr="00707BF8">
        <w:t xml:space="preserve"> 9</w:t>
      </w:r>
      <w:r>
        <w:t>0-97.</w:t>
      </w:r>
    </w:p>
  </w:footnote>
  <w:footnote w:id="14">
    <w:p w14:paraId="1BE953F3" w14:textId="01FF54F6" w:rsidR="00A82BA5" w:rsidRDefault="002F2867" w:rsidP="00A82BA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82BA5">
        <w:t>2/2011. (V. 9.) KK vélemény, illetve a korábbi, a kereseti kérelemhez teljes mértékben kötött</w:t>
      </w:r>
    </w:p>
    <w:p w14:paraId="61465A08" w14:textId="77777777" w:rsidR="00A82BA5" w:rsidRDefault="00A82BA5" w:rsidP="00A82BA5">
      <w:pPr>
        <w:pStyle w:val="Lbjegyzetszveg"/>
      </w:pPr>
      <w:r>
        <w:t xml:space="preserve">gyakorlatra és annak megváltozására részletesen </w:t>
      </w:r>
      <w:r w:rsidRPr="006C18BB">
        <w:rPr>
          <w:smallCaps/>
        </w:rPr>
        <w:t>Barabás</w:t>
      </w:r>
      <w:r>
        <w:t xml:space="preserve"> Gergely – </w:t>
      </w:r>
      <w:r w:rsidRPr="006C18BB">
        <w:rPr>
          <w:smallCaps/>
        </w:rPr>
        <w:t>Kovács A</w:t>
      </w:r>
      <w:r>
        <w:t>ndrás György: Ket. 121. §.</w:t>
      </w:r>
    </w:p>
    <w:p w14:paraId="62F8CD0E" w14:textId="39A0B824" w:rsidR="00A82BA5" w:rsidRDefault="00A82BA5" w:rsidP="00A82BA5">
      <w:pPr>
        <w:pStyle w:val="Lbjegyzetszveg"/>
      </w:pPr>
      <w:r>
        <w:t>In</w:t>
      </w:r>
      <w:r w:rsidR="006C18BB">
        <w:t>:</w:t>
      </w:r>
      <w:r>
        <w:t xml:space="preserve"> </w:t>
      </w:r>
      <w:r w:rsidRPr="006C18BB">
        <w:rPr>
          <w:smallCaps/>
        </w:rPr>
        <w:t>Barabás</w:t>
      </w:r>
      <w:r>
        <w:t xml:space="preserve"> Gergely – </w:t>
      </w:r>
      <w:r w:rsidRPr="006C18BB">
        <w:rPr>
          <w:smallCaps/>
        </w:rPr>
        <w:t>Baranyi B</w:t>
      </w:r>
      <w:r>
        <w:t xml:space="preserve">ertold – </w:t>
      </w:r>
      <w:r w:rsidRPr="006C18BB">
        <w:rPr>
          <w:smallCaps/>
        </w:rPr>
        <w:t xml:space="preserve">Kovács </w:t>
      </w:r>
      <w:r>
        <w:t>András György: Nagykommentár a közigazgatási eljárási</w:t>
      </w:r>
    </w:p>
    <w:p w14:paraId="09B3FE47" w14:textId="7DDF7E5B" w:rsidR="002F2867" w:rsidRDefault="00A82BA5" w:rsidP="00A82BA5">
      <w:pPr>
        <w:pStyle w:val="Lbjegyzetszveg"/>
      </w:pPr>
      <w:r>
        <w:t>törvényhez. Budapest, 2013. 888–918., 895–897. o.</w:t>
      </w:r>
    </w:p>
  </w:footnote>
  <w:footnote w:id="15">
    <w:p w14:paraId="2BA1E672" w14:textId="017E2DA1" w:rsidR="002178D1" w:rsidRDefault="002178D1" w:rsidP="0072383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26A3F">
        <w:t xml:space="preserve">Ld. </w:t>
      </w:r>
      <w:r w:rsidR="00626A3F" w:rsidRPr="00723839">
        <w:rPr>
          <w:smallCaps/>
        </w:rPr>
        <w:t>Kovács</w:t>
      </w:r>
      <w:r w:rsidR="00626A3F">
        <w:t xml:space="preserve"> András György: </w:t>
      </w:r>
      <w:r w:rsidR="00443B6A" w:rsidRPr="00D908F9">
        <w:t>A Kúria megváltozott szerepköre a közigazgatási perrendtartás rendszerében.</w:t>
      </w:r>
      <w:r w:rsidR="00443B6A" w:rsidRPr="0062243A">
        <w:rPr>
          <w:b/>
          <w:bCs/>
        </w:rPr>
        <w:t xml:space="preserve"> </w:t>
      </w:r>
      <w:r w:rsidR="00443B6A" w:rsidRPr="0062243A">
        <w:rPr>
          <w:i/>
          <w:iCs/>
        </w:rPr>
        <w:t>Jogtudományi Közl</w:t>
      </w:r>
      <w:r w:rsidR="00443B6A">
        <w:rPr>
          <w:i/>
          <w:iCs/>
        </w:rPr>
        <w:t>öny</w:t>
      </w:r>
      <w:r w:rsidR="00443B6A" w:rsidRPr="0062243A">
        <w:t xml:space="preserve"> </w:t>
      </w:r>
      <w:r w:rsidR="00443B6A">
        <w:t>2017/</w:t>
      </w:r>
      <w:r w:rsidR="00443B6A" w:rsidRPr="0062243A">
        <w:t>9</w:t>
      </w:r>
      <w:r w:rsidR="00443B6A">
        <w:t>.</w:t>
      </w:r>
      <w:r w:rsidR="00443B6A" w:rsidRPr="0062243A">
        <w:t xml:space="preserve"> 403-409.</w:t>
      </w:r>
      <w:r w:rsidR="00443B6A">
        <w:t>, 408. A funkci</w:t>
      </w:r>
      <w:r w:rsidR="002C6B91">
        <w:t xml:space="preserve">ókról részletesen ld. </w:t>
      </w:r>
      <w:r w:rsidR="002C6B91" w:rsidRPr="0040772E">
        <w:t xml:space="preserve">F. </w:t>
      </w:r>
      <w:r w:rsidR="002C6B91" w:rsidRPr="0040772E">
        <w:rPr>
          <w:smallCaps/>
        </w:rPr>
        <w:t>Rozsnyai</w:t>
      </w:r>
      <w:r w:rsidR="002C6B91" w:rsidRPr="0040772E">
        <w:t xml:space="preserve"> Krisztina</w:t>
      </w:r>
      <w:r w:rsidR="002C6B91">
        <w:t xml:space="preserve"> (2016)</w:t>
      </w:r>
      <w:r w:rsidR="002C6B91" w:rsidRPr="0040772E">
        <w:t xml:space="preserve"> Perjogi önállósulás és különbírósági jelleg a közigazgatási bíráskodásban. </w:t>
      </w:r>
      <w:r w:rsidR="002C6B91" w:rsidRPr="0040772E">
        <w:rPr>
          <w:i/>
        </w:rPr>
        <w:t>Közjogi Szemle,</w:t>
      </w:r>
      <w:r w:rsidR="002C6B91">
        <w:t xml:space="preserve"> (2016) 4., 3–9., 4.</w:t>
      </w:r>
    </w:p>
  </w:footnote>
  <w:footnote w:id="16">
    <w:p w14:paraId="23D95E60" w14:textId="47417AF1" w:rsidR="00675E20" w:rsidRDefault="00675E20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Ez a szétválasztás Magyarországon a bányászat területén már 1788-ban megvalósult. Az 1848-as márciusi forradalom a másik – rövid, de általános – időszak, amely</w:t>
      </w:r>
      <w:r w:rsidR="00B61DC4">
        <w:t>ben</w:t>
      </w:r>
      <w:r>
        <w:t xml:space="preserve"> a közigazgatási bírói jogvédelem megteremtésének előzménye</w:t>
      </w:r>
      <w:r w:rsidR="00B61DC4">
        <w:t xml:space="preserve">i már megjelentek, </w:t>
      </w:r>
      <w:r w:rsidR="00ED26FF">
        <w:t>így p</w:t>
      </w:r>
      <w:r>
        <w:t>éldául az 1848: III. törvénycikk</w:t>
      </w:r>
      <w:r w:rsidR="00ED26FF">
        <w:t xml:space="preserve"> </w:t>
      </w:r>
      <w:r w:rsidR="008A3BA9">
        <w:t>(</w:t>
      </w:r>
      <w:r w:rsidR="006C18BB">
        <w:t>Á</w:t>
      </w:r>
      <w:r w:rsidR="008A3BA9">
        <w:t xml:space="preserve">llamtanács) </w:t>
      </w:r>
      <w:r w:rsidR="00ED26FF">
        <w:t>vagy a</w:t>
      </w:r>
      <w:r>
        <w:t>z 1848:V. törvénycikk</w:t>
      </w:r>
      <w:r w:rsidR="008A3BA9">
        <w:t xml:space="preserve"> (központi bizottságok)</w:t>
      </w:r>
      <w:r w:rsidR="00B61DC4">
        <w:t xml:space="preserve"> révén</w:t>
      </w:r>
      <w:r w:rsidR="00ED26FF">
        <w:t>.</w:t>
      </w:r>
    </w:p>
  </w:footnote>
  <w:footnote w:id="17">
    <w:p w14:paraId="1BE72DD3" w14:textId="18916B4A" w:rsidR="00A50CDB" w:rsidRDefault="00A50CDB" w:rsidP="00A50C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400FB">
        <w:t xml:space="preserve">A kezdetektől a hetedik Alaptörvénymódosításig részletes áttekintést ad </w:t>
      </w:r>
      <w:r w:rsidR="008400FB" w:rsidRPr="00E945CF">
        <w:rPr>
          <w:smallCaps/>
        </w:rPr>
        <w:t>Patyi</w:t>
      </w:r>
      <w:r w:rsidR="008400FB">
        <w:t xml:space="preserve"> András: </w:t>
      </w:r>
      <w:r>
        <w:t xml:space="preserve">A magyar közigazgatási bíráskodás elmélete és története. </w:t>
      </w:r>
      <w:r w:rsidR="008400FB">
        <w:t xml:space="preserve">Budapest: Dialóg Campus, 2019., </w:t>
      </w:r>
      <w:hyperlink r:id="rId3" w:history="1">
        <w:r w:rsidR="008400FB" w:rsidRPr="00892205">
          <w:rPr>
            <w:rStyle w:val="Hiperhivatkozs"/>
            <w:rFonts w:cstheme="minorHAnsi"/>
          </w:rPr>
          <w:t>https://nkerepo.uni-nke.hu/xmlui/bitstream/handle/123456789/14554/Patyi_Andras_Magyar_kozig_biraskodas_elm_es_tort_2019.pdf?sequence=1</w:t>
        </w:r>
      </w:hyperlink>
    </w:p>
  </w:footnote>
  <w:footnote w:id="18">
    <w:p w14:paraId="220E620A" w14:textId="52231C30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államtanácsi koncepció 1842 után 1869-ben újra előkerült. Ld. </w:t>
      </w:r>
      <w:r w:rsidRPr="00A91960">
        <w:rPr>
          <w:smallCaps/>
        </w:rPr>
        <w:t xml:space="preserve">Stipta </w:t>
      </w:r>
      <w:r>
        <w:t>István</w:t>
      </w:r>
      <w:r w:rsidR="00322BBD">
        <w:t>, „</w:t>
      </w:r>
      <w:r w:rsidRPr="00FF5D25">
        <w:t>Diskussionen über den Inhalt des Verwaltungsrechtsschutzes in Ungarn (1848-1896)</w:t>
      </w:r>
      <w:r w:rsidR="00322BBD">
        <w:t>”</w:t>
      </w:r>
      <w:r w:rsidRPr="00FF5D25">
        <w:t xml:space="preserve">, </w:t>
      </w:r>
      <w:r w:rsidR="00322BBD">
        <w:t>I</w:t>
      </w:r>
      <w:r w:rsidRPr="00FF5D25">
        <w:t xml:space="preserve">n: Gábor </w:t>
      </w:r>
      <w:r w:rsidRPr="00322BBD">
        <w:rPr>
          <w:smallCaps/>
        </w:rPr>
        <w:t>Máthé</w:t>
      </w:r>
      <w:r w:rsidRPr="00FF5D25">
        <w:t xml:space="preserve"> – Barna </w:t>
      </w:r>
      <w:r w:rsidRPr="00322BBD">
        <w:rPr>
          <w:smallCaps/>
        </w:rPr>
        <w:t>Mezey</w:t>
      </w:r>
      <w:r w:rsidR="00322BBD">
        <w:t>, „</w:t>
      </w:r>
      <w:r w:rsidRPr="00FF5D25">
        <w:rPr>
          <w:i/>
          <w:iCs/>
        </w:rPr>
        <w:t>Rechtsgeschichtliche Studien. Beitrage zur Institutionsentwicklung in der ungarischen Rechtsgeschichte</w:t>
      </w:r>
      <w:r w:rsidR="00322BBD">
        <w:rPr>
          <w:i/>
          <w:iCs/>
        </w:rPr>
        <w:t>”</w:t>
      </w:r>
      <w:r w:rsidRPr="00FF5D25">
        <w:t>, Passau-Budapest</w:t>
      </w:r>
      <w:r w:rsidR="00D31158">
        <w:t>: Schenk,</w:t>
      </w:r>
      <w:r w:rsidRPr="00FF5D25">
        <w:t xml:space="preserve"> 2008, 67.</w:t>
      </w:r>
    </w:p>
  </w:footnote>
  <w:footnote w:id="19">
    <w:p w14:paraId="299A8258" w14:textId="040E95B4" w:rsidR="002E00A7" w:rsidRDefault="002E00A7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BB1901">
        <w:rPr>
          <w:szCs w:val="18"/>
        </w:rPr>
        <w:t xml:space="preserve">Míg </w:t>
      </w:r>
      <w:r w:rsidRPr="00CD0C6A">
        <w:rPr>
          <w:smallCaps/>
        </w:rPr>
        <w:t>Kautz</w:t>
      </w:r>
      <w:r>
        <w:rPr>
          <w:smallCaps/>
        </w:rPr>
        <w:t xml:space="preserve"> </w:t>
      </w:r>
      <w:r w:rsidRPr="00D31158">
        <w:rPr>
          <w:rFonts w:eastAsiaTheme="minorHAnsi"/>
          <w:iCs/>
          <w:lang w:eastAsia="en-US"/>
        </w:rPr>
        <w:t>Gyula</w:t>
      </w:r>
      <w:r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lang w:eastAsia="en-US"/>
        </w:rPr>
        <w:t>„</w:t>
      </w:r>
      <w:r w:rsidRPr="00203CF7">
        <w:rPr>
          <w:rStyle w:val="LbjegyzetszvegChar"/>
          <w:rFonts w:eastAsia="Arial Unicode MS"/>
          <w:szCs w:val="18"/>
        </w:rPr>
        <w:t>Politika- vagy országászattan</w:t>
      </w:r>
      <w:r>
        <w:rPr>
          <w:rStyle w:val="LbjegyzetszvegChar"/>
          <w:rFonts w:eastAsia="Arial Unicode MS"/>
          <w:szCs w:val="18"/>
        </w:rPr>
        <w:t>”, Budapest</w:t>
      </w:r>
      <w:r w:rsidRPr="00203CF7">
        <w:rPr>
          <w:rStyle w:val="LbjegyzetszvegChar"/>
          <w:rFonts w:eastAsia="Arial Unicode MS"/>
          <w:szCs w:val="18"/>
        </w:rPr>
        <w:t>, 1862,</w:t>
      </w:r>
      <w:r>
        <w:rPr>
          <w:rStyle w:val="LbjegyzetszvegChar"/>
          <w:rFonts w:eastAsiaTheme="minorHAnsi"/>
          <w:szCs w:val="18"/>
        </w:rPr>
        <w:t xml:space="preserve"> (</w:t>
      </w:r>
      <w:r w:rsidRPr="00203CF7">
        <w:rPr>
          <w:rStyle w:val="LbjegyzetszvegChar"/>
          <w:rFonts w:eastAsiaTheme="minorHAnsi"/>
          <w:szCs w:val="18"/>
        </w:rPr>
        <w:t>379-390</w:t>
      </w:r>
      <w:r>
        <w:rPr>
          <w:rStyle w:val="LbjegyzetszvegChar"/>
          <w:rFonts w:eastAsiaTheme="minorHAnsi"/>
          <w:szCs w:val="18"/>
        </w:rPr>
        <w:t>.)</w:t>
      </w:r>
      <w:r w:rsidR="00BB1901">
        <w:rPr>
          <w:rStyle w:val="LbjegyzetszvegChar"/>
          <w:rFonts w:eastAsiaTheme="minorHAnsi"/>
          <w:szCs w:val="18"/>
        </w:rPr>
        <w:t xml:space="preserve"> c.</w:t>
      </w:r>
      <w:r w:rsidR="00D96867" w:rsidRPr="00203CF7">
        <w:rPr>
          <w:rStyle w:val="LbjegyzetszvegChar"/>
          <w:rFonts w:eastAsiaTheme="minorHAnsi"/>
          <w:szCs w:val="18"/>
        </w:rPr>
        <w:t xml:space="preserve"> </w:t>
      </w:r>
      <w:r w:rsidR="00D96867">
        <w:rPr>
          <w:rStyle w:val="LbjegyzetszvegChar"/>
          <w:rFonts w:eastAsiaTheme="minorHAnsi"/>
          <w:szCs w:val="18"/>
        </w:rPr>
        <w:t xml:space="preserve">könyvében </w:t>
      </w:r>
      <w:r>
        <w:rPr>
          <w:rFonts w:eastAsiaTheme="minorHAnsi"/>
          <w:lang w:eastAsia="en-US"/>
        </w:rPr>
        <w:t xml:space="preserve">még </w:t>
      </w:r>
      <w:r w:rsidR="00BB1901">
        <w:rPr>
          <w:rFonts w:eastAsiaTheme="minorHAnsi"/>
          <w:lang w:eastAsia="en-US"/>
        </w:rPr>
        <w:t xml:space="preserve">csak </w:t>
      </w:r>
      <w:r>
        <w:rPr>
          <w:rFonts w:eastAsiaTheme="minorHAnsi"/>
          <w:lang w:eastAsia="en-US"/>
        </w:rPr>
        <w:t>az államtanács alkotmányjogi vitákban való szerepéről találhatunk fejtegetéseket</w:t>
      </w:r>
      <w:r w:rsidR="009326F3">
        <w:rPr>
          <w:rFonts w:eastAsiaTheme="minorHAnsi"/>
          <w:lang w:eastAsia="en-US"/>
        </w:rPr>
        <w:t xml:space="preserve">, ennek </w:t>
      </w:r>
      <w:r w:rsidR="00AE2F09">
        <w:rPr>
          <w:rFonts w:eastAsiaTheme="minorHAnsi"/>
          <w:lang w:eastAsia="en-US"/>
        </w:rPr>
        <w:t xml:space="preserve">szintén 1877-ben </w:t>
      </w:r>
      <w:r w:rsidR="009326F3">
        <w:rPr>
          <w:rFonts w:eastAsiaTheme="minorHAnsi"/>
          <w:lang w:eastAsia="en-US"/>
        </w:rPr>
        <w:t>„</w:t>
      </w:r>
      <w:r w:rsidR="009326F3" w:rsidRPr="00203CF7">
        <w:rPr>
          <w:rStyle w:val="LbjegyzetszvegChar"/>
          <w:rFonts w:eastAsiaTheme="minorHAnsi"/>
          <w:szCs w:val="18"/>
        </w:rPr>
        <w:t>A politikai tudomány kézikönyve</w:t>
      </w:r>
      <w:r w:rsidR="009326F3">
        <w:rPr>
          <w:rStyle w:val="LbjegyzetszvegChar"/>
          <w:rFonts w:eastAsiaTheme="minorHAnsi"/>
          <w:szCs w:val="18"/>
        </w:rPr>
        <w:t>” címmel</w:t>
      </w:r>
      <w:r w:rsidR="00AE2F09">
        <w:rPr>
          <w:rStyle w:val="LbjegyzetszvegChar"/>
          <w:rFonts w:eastAsiaTheme="minorHAnsi"/>
          <w:szCs w:val="18"/>
        </w:rPr>
        <w:t xml:space="preserve"> </w:t>
      </w:r>
      <w:r w:rsidR="00AE2F09">
        <w:rPr>
          <w:rFonts w:eastAsiaTheme="minorHAnsi"/>
          <w:lang w:eastAsia="en-US"/>
        </w:rPr>
        <w:t>megjelent második kiadásában</w:t>
      </w:r>
      <w:r w:rsidR="009326F3">
        <w:rPr>
          <w:rStyle w:val="LbjegyzetszvegChar"/>
          <w:rFonts w:eastAsiaTheme="minorHAnsi"/>
          <w:szCs w:val="18"/>
        </w:rPr>
        <w:t xml:space="preserve"> </w:t>
      </w:r>
      <w:r w:rsidR="009326F3">
        <w:rPr>
          <w:rFonts w:eastAsiaTheme="minorHAnsi"/>
          <w:lang w:eastAsia="en-US"/>
        </w:rPr>
        <w:t>már több bekezdést szentel a közigazgatási bíráskodásnak az igazságszolgáltatásról szóló 6. fejezet</w:t>
      </w:r>
      <w:r>
        <w:rPr>
          <w:rFonts w:eastAsiaTheme="minorHAnsi"/>
          <w:lang w:eastAsia="en-US"/>
        </w:rPr>
        <w:t xml:space="preserve">. </w:t>
      </w:r>
      <w:r w:rsidRPr="00CD0C6A">
        <w:rPr>
          <w:smallCaps/>
        </w:rPr>
        <w:t>Kautz</w:t>
      </w:r>
      <w:r w:rsidRPr="00203CF7">
        <w:rPr>
          <w:rStyle w:val="LbjegyzetszvegChar"/>
          <w:rFonts w:eastAsia="Arial Unicode MS"/>
          <w:szCs w:val="18"/>
        </w:rPr>
        <w:t xml:space="preserve"> </w:t>
      </w:r>
      <w:r>
        <w:rPr>
          <w:rStyle w:val="LbjegyzetszvegChar"/>
          <w:rFonts w:eastAsia="Arial Unicode MS"/>
          <w:szCs w:val="18"/>
        </w:rPr>
        <w:t xml:space="preserve">ebben </w:t>
      </w:r>
      <w:r w:rsidR="00D96867">
        <w:rPr>
          <w:rStyle w:val="LbjegyzetszvegChar"/>
          <w:rFonts w:eastAsia="Arial Unicode MS"/>
          <w:szCs w:val="18"/>
        </w:rPr>
        <w:t xml:space="preserve">– </w:t>
      </w:r>
      <w:r>
        <w:rPr>
          <w:rStyle w:val="LbjegyzetszvegChar"/>
          <w:rFonts w:eastAsia="Arial Unicode MS"/>
          <w:szCs w:val="18"/>
        </w:rPr>
        <w:t>éppen a végrehajtó hatalommal való összefonódás miatt</w:t>
      </w:r>
      <w:r w:rsidR="00D96867">
        <w:rPr>
          <w:rStyle w:val="LbjegyzetszvegChar"/>
          <w:rFonts w:eastAsia="Arial Unicode MS"/>
          <w:szCs w:val="18"/>
        </w:rPr>
        <w:t xml:space="preserve"> – már nem találta a jogállamiság követelményeinek megfelelőnek az államtanácsi rendszert</w:t>
      </w:r>
      <w:r w:rsidR="00F52608">
        <w:rPr>
          <w:rStyle w:val="LbjegyzetszvegChar"/>
          <w:rFonts w:eastAsia="Arial Unicode MS"/>
          <w:szCs w:val="18"/>
        </w:rPr>
        <w:t>. A</w:t>
      </w:r>
      <w:r>
        <w:rPr>
          <w:rStyle w:val="LbjegyzetszvegChar"/>
          <w:rFonts w:eastAsia="Arial Unicode MS"/>
          <w:szCs w:val="18"/>
        </w:rPr>
        <w:t xml:space="preserve"> rendes bírósági (azaz monista) jogvédelmi rendszert pedig a polgári- és büntetőbírák hiányzó szakmai ismeretei miatt vetette el</w:t>
      </w:r>
      <w:r w:rsidR="00F52608">
        <w:rPr>
          <w:rStyle w:val="LbjegyzetszvegChar"/>
          <w:rFonts w:eastAsia="Arial Unicode MS"/>
          <w:szCs w:val="18"/>
        </w:rPr>
        <w:t>, így</w:t>
      </w:r>
      <w:r>
        <w:rPr>
          <w:rStyle w:val="LbjegyzetszvegChar"/>
          <w:rFonts w:eastAsia="Arial Unicode MS"/>
          <w:szCs w:val="18"/>
        </w:rPr>
        <w:t xml:space="preserve"> </w:t>
      </w:r>
      <w:r w:rsidR="00F52608">
        <w:rPr>
          <w:rStyle w:val="LbjegyzetszvegChar"/>
          <w:rFonts w:eastAsia="Arial Unicode MS"/>
          <w:szCs w:val="18"/>
        </w:rPr>
        <w:t>a</w:t>
      </w:r>
      <w:r>
        <w:rPr>
          <w:rStyle w:val="LbjegyzetszvegChar"/>
          <w:rFonts w:eastAsia="Arial Unicode MS"/>
          <w:szCs w:val="18"/>
        </w:rPr>
        <w:t xml:space="preserve"> </w:t>
      </w:r>
      <w:r w:rsidR="00F52608">
        <w:rPr>
          <w:rStyle w:val="LbjegyzetszvegChar"/>
          <w:rFonts w:eastAsia="Arial Unicode MS"/>
          <w:szCs w:val="18"/>
        </w:rPr>
        <w:t xml:space="preserve">dualista, </w:t>
      </w:r>
      <w:r>
        <w:rPr>
          <w:rStyle w:val="LbjegyzetszvegChar"/>
          <w:rFonts w:eastAsia="Arial Unicode MS"/>
          <w:szCs w:val="18"/>
        </w:rPr>
        <w:t>közigazgatási bírósági rendszert tekintette a jogállami, megfelelő egyéni jogvédelmet biztosító megoldásnak</w:t>
      </w:r>
      <w:r>
        <w:rPr>
          <w:rFonts w:eastAsiaTheme="minorHAnsi"/>
          <w:sz w:val="18"/>
          <w:lang w:eastAsia="en-US"/>
        </w:rPr>
        <w:t xml:space="preserve"> (433-445.)</w:t>
      </w:r>
    </w:p>
  </w:footnote>
  <w:footnote w:id="20">
    <w:p w14:paraId="1A5F6EA9" w14:textId="50B25363" w:rsidR="0011003E" w:rsidRPr="00093EFD" w:rsidRDefault="0011003E" w:rsidP="00854A18">
      <w:pPr>
        <w:pStyle w:val="Lbjegyzetszveg"/>
        <w:jc w:val="both"/>
        <w:rPr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D0C6A">
        <w:rPr>
          <w:smallCaps/>
        </w:rPr>
        <w:t>Concha</w:t>
      </w:r>
      <w:r>
        <w:t xml:space="preserve"> Győző</w:t>
      </w:r>
      <w:r w:rsidR="00294184">
        <w:t>, „</w:t>
      </w:r>
      <w:r w:rsidRPr="00BB1BCE">
        <w:rPr>
          <w:rFonts w:eastAsia="Calibri"/>
          <w:i/>
          <w:iCs/>
          <w:szCs w:val="18"/>
        </w:rPr>
        <w:t>A közigazgatási bíráskodás az alkotmányosság és az egyéni joghoz való viszonyában</w:t>
      </w:r>
      <w:r w:rsidR="00294184">
        <w:rPr>
          <w:rFonts w:eastAsia="Calibri"/>
          <w:szCs w:val="18"/>
        </w:rPr>
        <w:t>”</w:t>
      </w:r>
      <w:r>
        <w:rPr>
          <w:rFonts w:eastAsia="Calibri"/>
          <w:szCs w:val="18"/>
        </w:rPr>
        <w:t>, Budapest</w:t>
      </w:r>
      <w:r w:rsidRPr="00203CF7">
        <w:rPr>
          <w:rFonts w:eastAsia="Calibri"/>
          <w:szCs w:val="18"/>
        </w:rPr>
        <w:t>, 1877.</w:t>
      </w:r>
      <w:r w:rsidRPr="00203CF7">
        <w:rPr>
          <w:szCs w:val="18"/>
        </w:rPr>
        <w:t xml:space="preserve"> </w:t>
      </w:r>
      <w:r w:rsidR="007E6F9F" w:rsidRPr="007E6F9F">
        <w:rPr>
          <w:szCs w:val="18"/>
        </w:rPr>
        <w:t xml:space="preserve">A közigazgatási bíráskodás funkciója </w:t>
      </w:r>
      <w:r w:rsidR="00DB52F6">
        <w:rPr>
          <w:szCs w:val="18"/>
        </w:rPr>
        <w:t xml:space="preserve">e mű szerint </w:t>
      </w:r>
      <w:r w:rsidR="007E6F9F" w:rsidRPr="007E6F9F">
        <w:rPr>
          <w:szCs w:val="18"/>
        </w:rPr>
        <w:t>a végrehajtó és a törvényhozó hatalom közötti kapcsolat harmonizálása, és a törvények végrehajtását is a közigazgatási bíróságok biztosítják. A közigazgatási bíráskodás létrehozásának indoka</w:t>
      </w:r>
      <w:r w:rsidR="00C25197">
        <w:rPr>
          <w:szCs w:val="18"/>
        </w:rPr>
        <w:t>i</w:t>
      </w:r>
      <w:r w:rsidR="007E6F9F" w:rsidRPr="007E6F9F">
        <w:rPr>
          <w:szCs w:val="18"/>
        </w:rPr>
        <w:t xml:space="preserve"> a szubjektív közjogok védelm</w:t>
      </w:r>
      <w:r w:rsidR="00C25197">
        <w:rPr>
          <w:szCs w:val="18"/>
        </w:rPr>
        <w:t>e</w:t>
      </w:r>
      <w:r w:rsidR="007E6F9F" w:rsidRPr="007E6F9F">
        <w:rPr>
          <w:szCs w:val="18"/>
        </w:rPr>
        <w:t xml:space="preserve"> és a hatalommegosztás elv</w:t>
      </w:r>
      <w:r w:rsidR="00C25197">
        <w:rPr>
          <w:szCs w:val="18"/>
        </w:rPr>
        <w:t>e</w:t>
      </w:r>
      <w:r w:rsidR="007E6F9F" w:rsidRPr="007E6F9F">
        <w:rPr>
          <w:szCs w:val="18"/>
        </w:rPr>
        <w:t xml:space="preserve">. </w:t>
      </w:r>
      <w:r w:rsidR="00C25197">
        <w:rPr>
          <w:szCs w:val="18"/>
        </w:rPr>
        <w:t>E</w:t>
      </w:r>
      <w:r w:rsidR="007E6F9F" w:rsidRPr="007E6F9F">
        <w:rPr>
          <w:szCs w:val="18"/>
        </w:rPr>
        <w:t xml:space="preserve">lsőként hangsúlyozta az alanyi jogok védelmének fontosságát, és kijelentette, hogy ez csak független igazságszolgáltatás révén biztosítható. Követelte továbbá a közigazgatási bíráskodás és a közigazgatás tekintetében a hatáskörök szétválasztását, amire az 1869. évi </w:t>
      </w:r>
      <w:r w:rsidR="00C25197">
        <w:rPr>
          <w:szCs w:val="18"/>
        </w:rPr>
        <w:t>IV.</w:t>
      </w:r>
      <w:r w:rsidR="007E6F9F" w:rsidRPr="007E6F9F">
        <w:rPr>
          <w:szCs w:val="18"/>
        </w:rPr>
        <w:t xml:space="preserve"> törvénycikkel nem került sor, hiszen az csak a polgári és büntetőjogi bíráskodás tekintetében történt meg. Concha a szubjektív jogvédelmi funkciót helyezte előtérbe, de a kiegészítő objektív jogvédelmi funkciót elengedhetetlennek tartotta. Concha számára döntő jelentőséggel bírt a közigazgatási bíráskodásról szóló német tudományos diskurzus, de monográfiájában a többi európai modellt is vizsgálta. Arra a következtetésre jutott, hogy a közigazgatással szembeni bírói jogvédelem feladatkörét – az angol mintát követve – a rendes bíróságokra kell telepíteni. Bár az angol megoldást az eltérő alkotmányos keretfeltételek miatt nehezen adaptálhatónak tartotta, a közjogi igények érvényesítésére </w:t>
      </w:r>
      <w:r w:rsidR="00F67A5D">
        <w:rPr>
          <w:szCs w:val="18"/>
        </w:rPr>
        <w:t xml:space="preserve">mégis </w:t>
      </w:r>
      <w:r w:rsidR="007E6F9F" w:rsidRPr="007E6F9F">
        <w:rPr>
          <w:szCs w:val="18"/>
        </w:rPr>
        <w:t>a rendes bíróságok jogvédelmét tartotta alkalmasabbnak.</w:t>
      </w:r>
    </w:p>
  </w:footnote>
  <w:footnote w:id="21">
    <w:p w14:paraId="7DCF2005" w14:textId="1EB557FC" w:rsidR="0011003E" w:rsidRPr="00203CF7" w:rsidRDefault="0011003E" w:rsidP="00854A18">
      <w:pPr>
        <w:pStyle w:val="Lbjegyzetszveg"/>
        <w:jc w:val="both"/>
        <w:rPr>
          <w:szCs w:val="18"/>
        </w:rPr>
      </w:pPr>
      <w:r w:rsidRPr="00203CF7">
        <w:rPr>
          <w:rStyle w:val="Lbjegyzet-hivatkozs"/>
          <w:szCs w:val="18"/>
        </w:rPr>
        <w:footnoteRef/>
      </w:r>
      <w:r w:rsidR="00E03E8E">
        <w:rPr>
          <w:smallCaps/>
        </w:rPr>
        <w:t xml:space="preserve"> </w:t>
      </w:r>
      <w:r w:rsidRPr="00CD0C6A">
        <w:rPr>
          <w:smallCaps/>
        </w:rPr>
        <w:t>Gruber</w:t>
      </w:r>
      <w:r w:rsidR="00B3365A">
        <w:rPr>
          <w:smallCaps/>
        </w:rPr>
        <w:t xml:space="preserve"> </w:t>
      </w:r>
      <w:r w:rsidR="00B3365A">
        <w:rPr>
          <w:szCs w:val="18"/>
        </w:rPr>
        <w:t>Lajos</w:t>
      </w:r>
      <w:r w:rsidR="00D31158">
        <w:rPr>
          <w:smallCaps/>
        </w:rPr>
        <w:t>, „</w:t>
      </w:r>
      <w:r w:rsidRPr="00203CF7">
        <w:rPr>
          <w:szCs w:val="18"/>
        </w:rPr>
        <w:t>A közigazgatási bíráskodás alakzatai Európában</w:t>
      </w:r>
      <w:r w:rsidR="00D31158">
        <w:rPr>
          <w:szCs w:val="18"/>
        </w:rPr>
        <w:t>”</w:t>
      </w:r>
      <w:r>
        <w:rPr>
          <w:szCs w:val="18"/>
        </w:rPr>
        <w:t xml:space="preserve">, </w:t>
      </w:r>
      <w:r w:rsidRPr="00203CF7">
        <w:rPr>
          <w:szCs w:val="18"/>
        </w:rPr>
        <w:t>Budapest: Atheneum, 1877.</w:t>
      </w:r>
      <w:r>
        <w:rPr>
          <w:szCs w:val="18"/>
        </w:rPr>
        <w:t xml:space="preserve"> </w:t>
      </w:r>
    </w:p>
  </w:footnote>
  <w:footnote w:id="22">
    <w:p w14:paraId="1D9EFC1A" w14:textId="477D3920" w:rsidR="0011003E" w:rsidRPr="00203CF7" w:rsidRDefault="0011003E" w:rsidP="00854A18">
      <w:pPr>
        <w:pStyle w:val="Lbjegyzetszveg"/>
        <w:jc w:val="both"/>
        <w:rPr>
          <w:szCs w:val="18"/>
        </w:rPr>
      </w:pPr>
      <w:r w:rsidRPr="00203CF7">
        <w:rPr>
          <w:rStyle w:val="Lbjegyzet-hivatkozs"/>
          <w:szCs w:val="18"/>
        </w:rPr>
        <w:footnoteRef/>
      </w:r>
      <w:r w:rsidR="00E03E8E">
        <w:rPr>
          <w:smallCaps/>
        </w:rPr>
        <w:t xml:space="preserve"> </w:t>
      </w:r>
      <w:r w:rsidRPr="00CD0C6A">
        <w:rPr>
          <w:smallCaps/>
        </w:rPr>
        <w:t>Kuncz</w:t>
      </w:r>
      <w:r w:rsidR="00E03E8E">
        <w:rPr>
          <w:smallCaps/>
        </w:rPr>
        <w:t xml:space="preserve"> </w:t>
      </w:r>
      <w:r w:rsidR="00E03E8E" w:rsidRPr="00E03E8E">
        <w:rPr>
          <w:iCs/>
          <w:szCs w:val="18"/>
        </w:rPr>
        <w:t>Ignác</w:t>
      </w:r>
      <w:r w:rsidR="00D31158">
        <w:rPr>
          <w:smallCaps/>
        </w:rPr>
        <w:t>, „</w:t>
      </w:r>
      <w:r w:rsidR="002F3EA9">
        <w:rPr>
          <w:szCs w:val="18"/>
        </w:rPr>
        <w:t>Észrevételek a</w:t>
      </w:r>
      <w:r w:rsidRPr="00203CF7">
        <w:rPr>
          <w:szCs w:val="18"/>
        </w:rPr>
        <w:t xml:space="preserve"> közigazgatási bíráskodás</w:t>
      </w:r>
      <w:r w:rsidR="002F3EA9">
        <w:rPr>
          <w:szCs w:val="18"/>
        </w:rPr>
        <w:t xml:space="preserve"> fölött</w:t>
      </w:r>
      <w:r w:rsidR="00D31158">
        <w:rPr>
          <w:szCs w:val="18"/>
        </w:rPr>
        <w:t>”,</w:t>
      </w:r>
      <w:r w:rsidRPr="00203CF7">
        <w:rPr>
          <w:szCs w:val="18"/>
        </w:rPr>
        <w:t xml:space="preserve"> </w:t>
      </w:r>
      <w:r w:rsidRPr="00E03E8E">
        <w:rPr>
          <w:i/>
          <w:iCs/>
          <w:szCs w:val="18"/>
        </w:rPr>
        <w:t>Jogtudományi Közlöny</w:t>
      </w:r>
      <w:r w:rsidRPr="00203CF7">
        <w:rPr>
          <w:szCs w:val="18"/>
        </w:rPr>
        <w:t>, 187</w:t>
      </w:r>
      <w:r w:rsidR="002F3EA9">
        <w:rPr>
          <w:szCs w:val="18"/>
        </w:rPr>
        <w:t>9</w:t>
      </w:r>
      <w:r w:rsidR="00E03E8E">
        <w:rPr>
          <w:szCs w:val="18"/>
        </w:rPr>
        <w:t>:</w:t>
      </w:r>
      <w:r w:rsidRPr="00203CF7">
        <w:rPr>
          <w:szCs w:val="18"/>
        </w:rPr>
        <w:t xml:space="preserve"> XIII. 21., 169 (171)</w:t>
      </w:r>
      <w:r w:rsidR="00D82AAD">
        <w:rPr>
          <w:szCs w:val="18"/>
        </w:rPr>
        <w:t>.</w:t>
      </w:r>
      <w:r w:rsidR="00755EC4">
        <w:rPr>
          <w:szCs w:val="18"/>
        </w:rPr>
        <w:t xml:space="preserve"> </w:t>
      </w:r>
    </w:p>
  </w:footnote>
  <w:footnote w:id="23">
    <w:p w14:paraId="3A398358" w14:textId="16E8DC86" w:rsidR="0011003E" w:rsidRPr="00203CF7" w:rsidRDefault="0011003E" w:rsidP="00854A18">
      <w:pPr>
        <w:pStyle w:val="Lbjegyzetszveg"/>
        <w:jc w:val="both"/>
        <w:rPr>
          <w:szCs w:val="18"/>
        </w:rPr>
      </w:pPr>
      <w:r w:rsidRPr="00203CF7">
        <w:rPr>
          <w:rStyle w:val="Lbjegyzet-hivatkozs"/>
          <w:szCs w:val="18"/>
        </w:rPr>
        <w:footnoteRef/>
      </w:r>
      <w:r w:rsidRPr="00203CF7">
        <w:rPr>
          <w:szCs w:val="18"/>
        </w:rPr>
        <w:t xml:space="preserve"> </w:t>
      </w:r>
      <w:r w:rsidRPr="00CD0C6A">
        <w:rPr>
          <w:smallCaps/>
        </w:rPr>
        <w:t xml:space="preserve">Stipta </w:t>
      </w:r>
      <w:r>
        <w:rPr>
          <w:szCs w:val="18"/>
        </w:rPr>
        <w:t>István</w:t>
      </w:r>
      <w:r w:rsidR="00D31158">
        <w:rPr>
          <w:szCs w:val="18"/>
        </w:rPr>
        <w:t>, „</w:t>
      </w:r>
      <w:r w:rsidRPr="00203CF7">
        <w:rPr>
          <w:szCs w:val="18"/>
        </w:rPr>
        <w:t>Die vertikale Gewa</w:t>
      </w:r>
      <w:r>
        <w:rPr>
          <w:szCs w:val="18"/>
        </w:rPr>
        <w:t>ltentrennung</w:t>
      </w:r>
      <w:r w:rsidR="00D31158">
        <w:rPr>
          <w:szCs w:val="18"/>
        </w:rPr>
        <w:t>”</w:t>
      </w:r>
      <w:r>
        <w:rPr>
          <w:szCs w:val="18"/>
        </w:rPr>
        <w:t>, Budapest</w:t>
      </w:r>
      <w:r w:rsidRPr="00203CF7">
        <w:rPr>
          <w:szCs w:val="18"/>
        </w:rPr>
        <w:t>, 2005, 139.</w:t>
      </w:r>
      <w:r w:rsidR="009A4364">
        <w:rPr>
          <w:szCs w:val="18"/>
        </w:rPr>
        <w:t xml:space="preserve"> </w:t>
      </w:r>
    </w:p>
  </w:footnote>
  <w:footnote w:id="24">
    <w:p w14:paraId="30C348C0" w14:textId="77777777" w:rsidR="009D04B2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A528A6">
        <w:t>Tisza Kálmán</w:t>
      </w:r>
      <w:r w:rsidR="00077F4C">
        <w:t xml:space="preserve"> </w:t>
      </w:r>
      <w:r w:rsidR="00A528A6">
        <w:t xml:space="preserve">1879-ben elrendelte a közigazgatási bíráskodás létrehozásának előkészítését. </w:t>
      </w:r>
      <w:r w:rsidR="00D40903">
        <w:t>Annak ellenére, hogy e</w:t>
      </w:r>
      <w:r w:rsidR="00A528A6">
        <w:t>gyértelmű volt</w:t>
      </w:r>
      <w:r w:rsidR="00D40903">
        <w:t>:</w:t>
      </w:r>
      <w:r w:rsidR="00A528A6">
        <w:t xml:space="preserve"> a közigazgatási bíráskodás létrehozásának előkészítése hosszú időt vesz igénybe</w:t>
      </w:r>
      <w:r w:rsidR="00D40903">
        <w:t xml:space="preserve">, </w:t>
      </w:r>
      <w:r w:rsidR="00A528A6">
        <w:t xml:space="preserve">a képviselőház elengedhetetlennek tartotta a pénzügyi igazgatás területén a bírói jogvédelem </w:t>
      </w:r>
      <w:r w:rsidR="00D40903">
        <w:t xml:space="preserve">mihamarabbi </w:t>
      </w:r>
      <w:r w:rsidR="00A528A6">
        <w:t xml:space="preserve">biztosítását, </w:t>
      </w:r>
      <w:r w:rsidR="00D40903">
        <w:t>így</w:t>
      </w:r>
      <w:r w:rsidR="00A413B2">
        <w:t xml:space="preserve"> </w:t>
      </w:r>
      <w:r w:rsidR="00A528A6">
        <w:t xml:space="preserve">1880-ban kötelezte a kormányt, hogy készítsen tervezetet egy állandó pénzügyi bíróság létrehozására. </w:t>
      </w:r>
    </w:p>
    <w:p w14:paraId="21882E38" w14:textId="0D255D9E" w:rsidR="0011003E" w:rsidRDefault="00A528A6" w:rsidP="00854A18">
      <w:pPr>
        <w:pStyle w:val="Lbjegyzetszveg"/>
        <w:jc w:val="both"/>
      </w:pPr>
      <w:r>
        <w:t xml:space="preserve">Ez heves kritikát váltott ki a bírák pártatlanságának és függetlenségének hiánya miatt, ezért új tervezetet kellett készíteni. </w:t>
      </w:r>
      <w:r w:rsidR="00DB436D">
        <w:t>Ez</w:t>
      </w:r>
      <w:r>
        <w:t xml:space="preserve"> már az 1875-ös osztrák </w:t>
      </w:r>
      <w:r w:rsidR="00DB436D">
        <w:t>megoldáshoz</w:t>
      </w:r>
      <w:r>
        <w:t xml:space="preserve"> igazod</w:t>
      </w:r>
      <w:r w:rsidR="00DB436D">
        <w:t>ot</w:t>
      </w:r>
      <w:r>
        <w:t xml:space="preserve">t, </w:t>
      </w:r>
      <w:r w:rsidR="00C6596D">
        <w:t xml:space="preserve">olyannyira, hogy annak átveendő szabályait kivonatolva </w:t>
      </w:r>
      <w:r>
        <w:t xml:space="preserve">még a </w:t>
      </w:r>
      <w:r w:rsidR="00C6596D">
        <w:t>törvény</w:t>
      </w:r>
      <w:r>
        <w:t>tervezethez is csatolt</w:t>
      </w:r>
      <w:r w:rsidR="00C6596D">
        <w:t>á</w:t>
      </w:r>
      <w:r>
        <w:t xml:space="preserve">k. </w:t>
      </w:r>
      <w:r w:rsidR="005E27B2">
        <w:t>Végül tehát a</w:t>
      </w:r>
      <w:r>
        <w:t xml:space="preserve">z 1883-ban elfogadott magyar szabályozás a legtöbb tekintetben az osztrák megoldást követte, amelyet korábban a tudósok és a politikusok </w:t>
      </w:r>
      <w:r w:rsidR="005E27B2">
        <w:t>erőtelennek</w:t>
      </w:r>
      <w:r>
        <w:t xml:space="preserve"> és a magyar viszonyok</w:t>
      </w:r>
      <w:r w:rsidR="005E27B2">
        <w:t>kal összeegyeztethetetlennek</w:t>
      </w:r>
      <w:r>
        <w:t xml:space="preserve"> tartottak. A lényeges különbségek abban álltak, hogy az adóügyi bíróság </w:t>
      </w:r>
      <w:r w:rsidR="00EA35D3">
        <w:t xml:space="preserve">egyfelől </w:t>
      </w:r>
      <w:r>
        <w:t xml:space="preserve">megváltoztatási jogkörrel </w:t>
      </w:r>
      <w:r w:rsidR="00EA35D3">
        <w:t xml:space="preserve">is </w:t>
      </w:r>
      <w:r>
        <w:t>rendelkezett, és hogy hatásköre enumeratív módon csak a pénzügyi igazgatási ügyek egy részére (közvetlen adók és illetékek) terjedt ki. Az egész országra vonatkozóan egyetlen adóügyi bíróságot hoztak létre, amelynek bíráit a pénzügyminiszter javaslatára a király nevezte ki. A bírák fele bírói tisztség betöltésére alkalmas személy volt, fele pedig a Pénzügyminisztérium</w:t>
      </w:r>
      <w:r w:rsidR="000D7B31">
        <w:t xml:space="preserve">i főtisztviselői </w:t>
      </w:r>
      <w:r>
        <w:t xml:space="preserve">szolgálatra alkalmas személy. Bár a megoldást a tudósok bírálták a különböző modellek jellemzőinek keveredése miatt, </w:t>
      </w:r>
      <w:r w:rsidR="0086450F">
        <w:t xml:space="preserve">mégis </w:t>
      </w:r>
      <w:r>
        <w:t xml:space="preserve">döntő hatást gyakorolt a </w:t>
      </w:r>
      <w:r w:rsidR="00A0271D">
        <w:t xml:space="preserve">majdan </w:t>
      </w:r>
      <w:r>
        <w:t xml:space="preserve">létrehozandó közigazgatási bírói </w:t>
      </w:r>
      <w:r w:rsidR="00A0271D">
        <w:t>megoldásra</w:t>
      </w:r>
      <w:r>
        <w:t xml:space="preserve">, amelynek előkészítő munkálatai ugyanabban az évben kezdődtek meg. </w:t>
      </w:r>
      <w:r w:rsidR="0011003E" w:rsidRPr="00CD0C6A">
        <w:rPr>
          <w:smallCaps/>
        </w:rPr>
        <w:t>Stipta</w:t>
      </w:r>
      <w:r w:rsidR="00D31158">
        <w:rPr>
          <w:smallCaps/>
        </w:rPr>
        <w:t xml:space="preserve"> </w:t>
      </w:r>
      <w:r w:rsidR="0011003E" w:rsidRPr="00203CF7">
        <w:rPr>
          <w:szCs w:val="18"/>
        </w:rPr>
        <w:t>(</w:t>
      </w:r>
      <w:r w:rsidR="004C407C">
        <w:rPr>
          <w:szCs w:val="18"/>
        </w:rPr>
        <w:fldChar w:fldCharType="begin"/>
      </w:r>
      <w:r w:rsidR="004C407C">
        <w:rPr>
          <w:szCs w:val="18"/>
        </w:rPr>
        <w:instrText xml:space="preserve"> NOTEREF _Ref105675559 \h </w:instrText>
      </w:r>
      <w:r w:rsidR="004C407C">
        <w:rPr>
          <w:szCs w:val="18"/>
        </w:rPr>
      </w:r>
      <w:r w:rsidR="004C407C">
        <w:rPr>
          <w:szCs w:val="18"/>
        </w:rPr>
        <w:fldChar w:fldCharType="separate"/>
      </w:r>
      <w:r w:rsidR="004C407C">
        <w:rPr>
          <w:szCs w:val="18"/>
        </w:rPr>
        <w:t>21</w:t>
      </w:r>
      <w:r w:rsidR="004C407C">
        <w:rPr>
          <w:szCs w:val="18"/>
        </w:rPr>
        <w:fldChar w:fldCharType="end"/>
      </w:r>
      <w:r w:rsidR="00D31158">
        <w:rPr>
          <w:szCs w:val="18"/>
        </w:rPr>
        <w:t xml:space="preserve">. </w:t>
      </w:r>
      <w:r w:rsidR="00734942">
        <w:rPr>
          <w:szCs w:val="18"/>
        </w:rPr>
        <w:t>j.</w:t>
      </w:r>
      <w:r w:rsidR="0011003E" w:rsidRPr="00203CF7">
        <w:rPr>
          <w:szCs w:val="18"/>
        </w:rPr>
        <w:t>), 170.</w:t>
      </w:r>
      <w:r>
        <w:rPr>
          <w:szCs w:val="18"/>
        </w:rPr>
        <w:t xml:space="preserve"> </w:t>
      </w:r>
    </w:p>
  </w:footnote>
  <w:footnote w:id="25">
    <w:p w14:paraId="19690734" w14:textId="77777777" w:rsidR="00A91960" w:rsidRDefault="00A91960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F5D25">
        <w:rPr>
          <w:rFonts w:eastAsiaTheme="minorHAnsi"/>
          <w:lang w:eastAsia="en-US"/>
        </w:rPr>
        <w:t xml:space="preserve">A kormány első tervezete </w:t>
      </w:r>
      <w:r>
        <w:rPr>
          <w:rFonts w:eastAsiaTheme="minorHAnsi"/>
          <w:lang w:eastAsia="en-US"/>
        </w:rPr>
        <w:t>kétszintű</w:t>
      </w:r>
      <w:r w:rsidRPr="00FF5D25">
        <w:rPr>
          <w:rFonts w:eastAsiaTheme="minorHAnsi"/>
          <w:lang w:eastAsia="en-US"/>
        </w:rPr>
        <w:t xml:space="preserve"> közigazgatá</w:t>
      </w:r>
      <w:r>
        <w:rPr>
          <w:rFonts w:eastAsiaTheme="minorHAnsi"/>
          <w:lang w:eastAsia="en-US"/>
        </w:rPr>
        <w:t>si bíráskodást irányzott elő</w:t>
      </w:r>
      <w:r w:rsidRPr="00FF5D25">
        <w:rPr>
          <w:rFonts w:eastAsiaTheme="minorHAnsi"/>
          <w:lang w:eastAsia="en-US"/>
        </w:rPr>
        <w:t xml:space="preserve">. Az elsőfokú bíróságot a közigazgatási bizottságok részlegeként hozták létre, a felsőbíróságot pedig a </w:t>
      </w:r>
      <w:r>
        <w:rPr>
          <w:rFonts w:eastAsiaTheme="minorHAnsi"/>
          <w:lang w:eastAsia="en-US"/>
        </w:rPr>
        <w:t xml:space="preserve">Magyar </w:t>
      </w:r>
      <w:r w:rsidRPr="00FF5D25">
        <w:rPr>
          <w:rFonts w:eastAsiaTheme="minorHAnsi"/>
          <w:lang w:eastAsia="en-US"/>
        </w:rPr>
        <w:t xml:space="preserve">Királyi </w:t>
      </w:r>
      <w:r>
        <w:rPr>
          <w:rFonts w:eastAsiaTheme="minorHAnsi"/>
          <w:lang w:eastAsia="en-US"/>
        </w:rPr>
        <w:t>Pénzügyi</w:t>
      </w:r>
      <w:r w:rsidRPr="00FF5D25">
        <w:rPr>
          <w:rFonts w:eastAsiaTheme="minorHAnsi"/>
          <w:lang w:eastAsia="en-US"/>
        </w:rPr>
        <w:t xml:space="preserve"> Bíróságból alakították ki. A</w:t>
      </w:r>
      <w:r>
        <w:rPr>
          <w:rFonts w:eastAsiaTheme="minorHAnsi"/>
          <w:lang w:eastAsia="en-US"/>
        </w:rPr>
        <w:t xml:space="preserve"> bírói útra tartozó ügyeket taxatíve felsorolta a törvény</w:t>
      </w:r>
      <w:r w:rsidRPr="00FF5D25">
        <w:rPr>
          <w:rFonts w:eastAsiaTheme="minorHAnsi"/>
          <w:lang w:eastAsia="en-US"/>
        </w:rPr>
        <w:t>tervezet</w:t>
      </w:r>
      <w:r>
        <w:rPr>
          <w:rFonts w:eastAsiaTheme="minorHAnsi"/>
          <w:lang w:eastAsia="en-US"/>
        </w:rPr>
        <w:t>, amely</w:t>
      </w:r>
      <w:r w:rsidRPr="00FF5D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felsorolás </w:t>
      </w:r>
      <w:r w:rsidRPr="00FF5D25">
        <w:rPr>
          <w:rFonts w:eastAsiaTheme="minorHAnsi"/>
          <w:lang w:eastAsia="en-US"/>
        </w:rPr>
        <w:t>azonban a kormányváltással eltűnt. Végül a képviselőház az 1891. évi XXXIII. törvénycikkel kötelezte a kormányt egy új tervezet elkészítésére</w:t>
      </w:r>
      <w:r>
        <w:rPr>
          <w:rFonts w:eastAsiaTheme="minorHAnsi"/>
          <w:lang w:eastAsia="en-US"/>
        </w:rPr>
        <w:t>, amelyet</w:t>
      </w:r>
      <w:r w:rsidRPr="00FF5D25">
        <w:rPr>
          <w:rFonts w:eastAsiaTheme="minorHAnsi"/>
          <w:lang w:eastAsia="en-US"/>
        </w:rPr>
        <w:t xml:space="preserve"> 1893-ban terjesztett</w:t>
      </w:r>
      <w:r>
        <w:rPr>
          <w:rFonts w:eastAsiaTheme="minorHAnsi"/>
          <w:lang w:eastAsia="en-US"/>
        </w:rPr>
        <w:t>e</w:t>
      </w:r>
      <w:r w:rsidRPr="00FF5D25">
        <w:rPr>
          <w:rFonts w:eastAsiaTheme="minorHAnsi"/>
          <w:lang w:eastAsia="en-US"/>
        </w:rPr>
        <w:t xml:space="preserve">k </w:t>
      </w:r>
      <w:r>
        <w:rPr>
          <w:rFonts w:eastAsiaTheme="minorHAnsi"/>
          <w:lang w:eastAsia="en-US"/>
        </w:rPr>
        <w:t xml:space="preserve">ugyan </w:t>
      </w:r>
      <w:r w:rsidRPr="00FF5D25">
        <w:rPr>
          <w:rFonts w:eastAsiaTheme="minorHAnsi"/>
          <w:lang w:eastAsia="en-US"/>
        </w:rPr>
        <w:t xml:space="preserve">elő, de a </w:t>
      </w:r>
      <w:r>
        <w:rPr>
          <w:rFonts w:eastAsiaTheme="minorHAnsi"/>
          <w:lang w:eastAsia="en-US"/>
        </w:rPr>
        <w:t>belpolitikai események miatt</w:t>
      </w:r>
      <w:r w:rsidRPr="00FF5D25">
        <w:rPr>
          <w:rFonts w:eastAsiaTheme="minorHAnsi"/>
          <w:lang w:eastAsia="en-US"/>
        </w:rPr>
        <w:t xml:space="preserve"> csak 1896-ban tárgyalták meg. Az ellenzék és a tudományos élet erősen bírálta az elsőfokú bíróságok személyi összetételét (</w:t>
      </w:r>
      <w:r>
        <w:rPr>
          <w:rFonts w:eastAsiaTheme="minorHAnsi"/>
          <w:lang w:eastAsia="en-US"/>
        </w:rPr>
        <w:t xml:space="preserve">ez is </w:t>
      </w:r>
      <w:r w:rsidRPr="00FF5D25">
        <w:rPr>
          <w:rFonts w:eastAsiaTheme="minorHAnsi"/>
          <w:lang w:eastAsia="en-US"/>
        </w:rPr>
        <w:t>részben köztisztviselők</w:t>
      </w:r>
      <w:r>
        <w:rPr>
          <w:rFonts w:eastAsiaTheme="minorHAnsi"/>
          <w:lang w:eastAsia="en-US"/>
        </w:rPr>
        <w:t>ből állt volna</w:t>
      </w:r>
      <w:r w:rsidRPr="00FF5D25">
        <w:rPr>
          <w:rFonts w:eastAsiaTheme="minorHAnsi"/>
          <w:lang w:eastAsia="en-US"/>
        </w:rPr>
        <w:t>) és a</w:t>
      </w:r>
      <w:r>
        <w:rPr>
          <w:rFonts w:eastAsiaTheme="minorHAnsi"/>
          <w:lang w:eastAsia="en-US"/>
        </w:rPr>
        <w:t>z</w:t>
      </w:r>
      <w:r w:rsidRPr="00FF5D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ispán</w:t>
      </w:r>
      <w:r w:rsidRPr="00FF5D25">
        <w:rPr>
          <w:rFonts w:eastAsiaTheme="minorHAnsi"/>
          <w:lang w:eastAsia="en-US"/>
        </w:rPr>
        <w:t xml:space="preserve"> általi irányításukat. Annak érdekében, hogy a közigazgatási bíráskodás egyáltalán létrejöjjön, a belügyminiszter visszavonta a tervezetnek az elsőfokú közigazgatási bíróságokra vonatkozó részét,</w:t>
      </w:r>
      <w:r>
        <w:rPr>
          <w:rFonts w:eastAsiaTheme="minorHAnsi"/>
          <w:lang w:eastAsia="en-US"/>
        </w:rPr>
        <w:t xml:space="preserve"> vállalva</w:t>
      </w:r>
      <w:r w:rsidRPr="00FF5D25">
        <w:rPr>
          <w:rFonts w:eastAsiaTheme="minorHAnsi"/>
          <w:lang w:eastAsia="en-US"/>
        </w:rPr>
        <w:t xml:space="preserve"> azt a kompromisszumot, hogy ideiglenesen csak a </w:t>
      </w:r>
      <w:r>
        <w:rPr>
          <w:rFonts w:eastAsiaTheme="minorHAnsi"/>
          <w:lang w:eastAsia="en-US"/>
        </w:rPr>
        <w:t>Magyar Királyi K</w:t>
      </w:r>
      <w:r w:rsidRPr="00FF5D25">
        <w:rPr>
          <w:rFonts w:eastAsiaTheme="minorHAnsi"/>
          <w:lang w:eastAsia="en-US"/>
        </w:rPr>
        <w:t xml:space="preserve">özigazgatási </w:t>
      </w:r>
      <w:r>
        <w:rPr>
          <w:rFonts w:eastAsiaTheme="minorHAnsi"/>
          <w:lang w:eastAsia="en-US"/>
        </w:rPr>
        <w:t>B</w:t>
      </w:r>
      <w:r w:rsidRPr="00FF5D25">
        <w:rPr>
          <w:rFonts w:eastAsiaTheme="minorHAnsi"/>
          <w:lang w:eastAsia="en-US"/>
        </w:rPr>
        <w:t>íróságot</w:t>
      </w:r>
      <w:r>
        <w:rPr>
          <w:rFonts w:eastAsiaTheme="minorHAnsi"/>
          <w:lang w:eastAsia="en-US"/>
        </w:rPr>
        <w:t xml:space="preserve"> </w:t>
      </w:r>
      <w:r w:rsidRPr="00FF5D25">
        <w:rPr>
          <w:rFonts w:eastAsiaTheme="minorHAnsi"/>
          <w:lang w:eastAsia="en-US"/>
        </w:rPr>
        <w:t>hozzák létre.</w:t>
      </w:r>
    </w:p>
  </w:footnote>
  <w:footnote w:id="26">
    <w:p w14:paraId="0460EE59" w14:textId="071FC170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D82AAD">
        <w:t>R</w:t>
      </w:r>
      <w:r>
        <w:t xml:space="preserve">észletesen a kialakult megoldásról </w:t>
      </w:r>
      <w:r w:rsidRPr="00CD0C6A">
        <w:rPr>
          <w:smallCaps/>
        </w:rPr>
        <w:t>Patyi,</w:t>
      </w:r>
      <w:r w:rsidRPr="00203CF7">
        <w:rPr>
          <w:szCs w:val="18"/>
        </w:rPr>
        <w:t xml:space="preserve"> </w:t>
      </w:r>
      <w:r w:rsidR="00D31158">
        <w:rPr>
          <w:szCs w:val="18"/>
        </w:rPr>
        <w:t>„</w:t>
      </w:r>
      <w:r w:rsidRPr="00203CF7">
        <w:rPr>
          <w:szCs w:val="18"/>
        </w:rPr>
        <w:t>Közigazgatási bíráskodásunk modelljei</w:t>
      </w:r>
      <w:r w:rsidR="00D31158">
        <w:rPr>
          <w:szCs w:val="18"/>
        </w:rPr>
        <w:t>”</w:t>
      </w:r>
      <w:r w:rsidRPr="00203CF7">
        <w:rPr>
          <w:szCs w:val="18"/>
        </w:rPr>
        <w:t>, Budapest, 2002, 24</w:t>
      </w:r>
      <w:r>
        <w:rPr>
          <w:szCs w:val="18"/>
        </w:rPr>
        <w:t>.</w:t>
      </w:r>
      <w:r w:rsidR="001E0445">
        <w:rPr>
          <w:szCs w:val="18"/>
        </w:rPr>
        <w:t xml:space="preserve">, illetve </w:t>
      </w:r>
      <w:r w:rsidR="001E0445" w:rsidRPr="00E945CF">
        <w:rPr>
          <w:smallCaps/>
        </w:rPr>
        <w:t>Patyi</w:t>
      </w:r>
      <w:r w:rsidR="001E0445">
        <w:t xml:space="preserve"> (2019)</w:t>
      </w:r>
    </w:p>
  </w:footnote>
  <w:footnote w:id="27">
    <w:p w14:paraId="1C9E1B48" w14:textId="4D2455FC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Ilyennek minősíthető például a polgári perjogra jellemző döntési jogkör a kasszáció-reformáció párosa helyett</w:t>
      </w:r>
      <w:r w:rsidRPr="00203CF7">
        <w:rPr>
          <w:szCs w:val="18"/>
        </w:rPr>
        <w:t>.</w:t>
      </w:r>
    </w:p>
  </w:footnote>
  <w:footnote w:id="28">
    <w:p w14:paraId="0D4FE047" w14:textId="122B4D9E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Nem véletlen, hogy már az 1890-es évek végén (!) megjelentek a reformelképzelések, </w:t>
      </w:r>
      <w:r w:rsidR="00D31158">
        <w:t xml:space="preserve">ld. pl. </w:t>
      </w:r>
      <w:r w:rsidR="00D31158" w:rsidRPr="00D40973">
        <w:rPr>
          <w:smallCaps/>
        </w:rPr>
        <w:t>Boér</w:t>
      </w:r>
      <w:r w:rsidR="00D31158" w:rsidRPr="00D40973">
        <w:t xml:space="preserve"> Elek, Közigazgatási bíráskodás, Budapest: Grill, 1907.</w:t>
      </w:r>
      <w:r w:rsidR="00D31158">
        <w:t xml:space="preserve"> Eze</w:t>
      </w:r>
      <w:r>
        <w:t xml:space="preserve">kből azonban 1949-ig vajmi kevés valósult meg. </w:t>
      </w:r>
    </w:p>
  </w:footnote>
  <w:footnote w:id="29">
    <w:p w14:paraId="46C370E9" w14:textId="6F027FAF" w:rsidR="00656002" w:rsidRDefault="00656002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367465" w:rsidRPr="001E0445">
        <w:rPr>
          <w:smallCaps/>
        </w:rPr>
        <w:t>Fuglinszky</w:t>
      </w:r>
      <w:r w:rsidR="00367465">
        <w:t xml:space="preserve"> Ádám</w:t>
      </w:r>
      <w:r w:rsidR="00A63E43">
        <w:t>,</w:t>
      </w:r>
      <w:r w:rsidR="00367465">
        <w:t xml:space="preserve"> </w:t>
      </w:r>
      <w:r w:rsidR="00CD636F">
        <w:t>„</w:t>
      </w:r>
      <w:r w:rsidR="00AA116E" w:rsidRPr="00606E6B">
        <w:rPr>
          <w:i/>
          <w:iCs/>
        </w:rPr>
        <w:t>Kártérítési jog</w:t>
      </w:r>
      <w:r w:rsidR="00CD636F">
        <w:rPr>
          <w:i/>
          <w:iCs/>
        </w:rPr>
        <w:t>”,</w:t>
      </w:r>
      <w:r w:rsidR="00AA116E">
        <w:t xml:space="preserve"> Budapest: hvg-orac, 2015.</w:t>
      </w:r>
      <w:r w:rsidR="00D969F6">
        <w:t xml:space="preserve"> </w:t>
      </w:r>
      <w:r w:rsidR="00606E6B">
        <w:t>XIV. Fejezet 1.1.</w:t>
      </w:r>
    </w:p>
  </w:footnote>
  <w:footnote w:id="30">
    <w:p w14:paraId="66969CD7" w14:textId="77777777" w:rsidR="001E0445" w:rsidRDefault="001E0445" w:rsidP="001E044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részletesen ld. </w:t>
      </w:r>
      <w:r w:rsidRPr="00CD0C6A">
        <w:rPr>
          <w:smallCaps/>
        </w:rPr>
        <w:t xml:space="preserve">Patyi </w:t>
      </w:r>
      <w:r>
        <w:rPr>
          <w:szCs w:val="18"/>
        </w:rPr>
        <w:t>(</w:t>
      </w:r>
      <w:r>
        <w:rPr>
          <w:szCs w:val="18"/>
        </w:rPr>
        <w:fldChar w:fldCharType="begin"/>
      </w:r>
      <w:r>
        <w:rPr>
          <w:szCs w:val="18"/>
        </w:rPr>
        <w:instrText xml:space="preserve"> NOTEREF _Ref107330781 \h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t>16</w:t>
      </w:r>
      <w:r>
        <w:rPr>
          <w:szCs w:val="18"/>
        </w:rPr>
        <w:fldChar w:fldCharType="end"/>
      </w:r>
      <w:r>
        <w:rPr>
          <w:szCs w:val="18"/>
        </w:rPr>
        <w:t>. j.), 2019. 233-252.</w:t>
      </w:r>
    </w:p>
  </w:footnote>
  <w:footnote w:id="31">
    <w:p w14:paraId="67A8A6EB" w14:textId="3CC5C281" w:rsidR="00A179A8" w:rsidRDefault="00A179A8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iCs/>
          <w:szCs w:val="18"/>
        </w:rPr>
        <w:t xml:space="preserve">E rendelkezés rendszertani helyéről, jelentőségéről ld. </w:t>
      </w:r>
      <w:r w:rsidRPr="00E945CF">
        <w:rPr>
          <w:smallCaps/>
        </w:rPr>
        <w:t>Patyi</w:t>
      </w:r>
      <w:r>
        <w:t xml:space="preserve"> András</w:t>
      </w:r>
      <w:r w:rsidR="00854A18">
        <w:t>,</w:t>
      </w:r>
      <w:r>
        <w:t xml:space="preserve"> „Közigazgatási bíráskodás</w:t>
      </w:r>
      <w:r w:rsidRPr="00E822CA">
        <w:rPr>
          <w:i/>
          <w:iCs/>
        </w:rPr>
        <w:t xml:space="preserve"> de constitutione ferenda</w:t>
      </w:r>
      <w:r w:rsidRPr="00E822CA">
        <w:t>”</w:t>
      </w:r>
      <w:r>
        <w:t xml:space="preserve">. In: </w:t>
      </w:r>
      <w:r w:rsidRPr="00D31158">
        <w:rPr>
          <w:rFonts w:eastAsiaTheme="minorHAnsi"/>
          <w:smallCaps/>
          <w:lang w:eastAsia="en-US"/>
        </w:rPr>
        <w:t>Varga Zs</w:t>
      </w:r>
      <w:r>
        <w:rPr>
          <w:i/>
          <w:szCs w:val="18"/>
        </w:rPr>
        <w:t xml:space="preserve">. </w:t>
      </w:r>
      <w:r w:rsidRPr="00D31158">
        <w:rPr>
          <w:iCs/>
          <w:szCs w:val="18"/>
        </w:rPr>
        <w:t>András</w:t>
      </w:r>
      <w:r>
        <w:rPr>
          <w:i/>
          <w:szCs w:val="18"/>
        </w:rPr>
        <w:t xml:space="preserve"> –</w:t>
      </w:r>
      <w:r w:rsidRPr="00203CF7">
        <w:rPr>
          <w:i/>
          <w:szCs w:val="18"/>
        </w:rPr>
        <w:t xml:space="preserve"> </w:t>
      </w:r>
      <w:r w:rsidRPr="00D31158">
        <w:rPr>
          <w:rFonts w:eastAsiaTheme="minorHAnsi"/>
          <w:smallCaps/>
          <w:lang w:eastAsia="en-US"/>
        </w:rPr>
        <w:t xml:space="preserve">Fröhlich </w:t>
      </w:r>
      <w:r w:rsidRPr="00D31158">
        <w:rPr>
          <w:iCs/>
          <w:szCs w:val="18"/>
        </w:rPr>
        <w:t>Johanna</w:t>
      </w:r>
      <w:r w:rsidRPr="00D31158">
        <w:rPr>
          <w:i/>
          <w:szCs w:val="18"/>
        </w:rPr>
        <w:t xml:space="preserve">, „Közérdekvédelem – A közigazgatási bíráskodás múltja és jövője, </w:t>
      </w:r>
      <w:r w:rsidRPr="00203CF7">
        <w:rPr>
          <w:szCs w:val="18"/>
        </w:rPr>
        <w:t>Budapest</w:t>
      </w:r>
      <w:r>
        <w:rPr>
          <w:szCs w:val="18"/>
        </w:rPr>
        <w:t>:</w:t>
      </w:r>
      <w:r w:rsidRPr="00203CF7">
        <w:rPr>
          <w:szCs w:val="18"/>
        </w:rPr>
        <w:t xml:space="preserve"> </w:t>
      </w:r>
      <w:r>
        <w:rPr>
          <w:szCs w:val="18"/>
        </w:rPr>
        <w:t xml:space="preserve">PPKE, </w:t>
      </w:r>
      <w:r w:rsidRPr="00203CF7">
        <w:rPr>
          <w:szCs w:val="18"/>
        </w:rPr>
        <w:t>2011</w:t>
      </w:r>
      <w:r>
        <w:t>, 41-47.</w:t>
      </w:r>
    </w:p>
  </w:footnote>
  <w:footnote w:id="32">
    <w:p w14:paraId="5217972E" w14:textId="12A65FCC" w:rsidR="0011003E" w:rsidRPr="00203CF7" w:rsidRDefault="0011003E" w:rsidP="00854A18">
      <w:pPr>
        <w:pStyle w:val="Lbjegyzetszveg"/>
        <w:jc w:val="both"/>
        <w:rPr>
          <w:szCs w:val="18"/>
        </w:rPr>
      </w:pPr>
      <w:r w:rsidRPr="00203CF7">
        <w:rPr>
          <w:rStyle w:val="Lbjegyzet-hivatkozs"/>
          <w:szCs w:val="18"/>
        </w:rPr>
        <w:footnoteRef/>
      </w:r>
      <w:r w:rsidRPr="00203CF7">
        <w:rPr>
          <w:szCs w:val="18"/>
        </w:rPr>
        <w:t xml:space="preserve"> </w:t>
      </w:r>
      <w:r>
        <w:rPr>
          <w:szCs w:val="18"/>
        </w:rPr>
        <w:t>Pl.</w:t>
      </w:r>
      <w:r w:rsidRPr="00203CF7">
        <w:rPr>
          <w:szCs w:val="18"/>
        </w:rPr>
        <w:t xml:space="preserve"> </w:t>
      </w:r>
      <w:r w:rsidRPr="008B5DBA">
        <w:rPr>
          <w:rFonts w:eastAsiaTheme="minorHAnsi"/>
          <w:smallCaps/>
          <w:lang w:eastAsia="en-US"/>
        </w:rPr>
        <w:t>Toldi</w:t>
      </w:r>
      <w:r>
        <w:rPr>
          <w:i/>
          <w:szCs w:val="18"/>
        </w:rPr>
        <w:t xml:space="preserve"> </w:t>
      </w:r>
      <w:r w:rsidRPr="00606E6B">
        <w:rPr>
          <w:iCs/>
          <w:szCs w:val="18"/>
        </w:rPr>
        <w:t>Lajos</w:t>
      </w:r>
      <w:r w:rsidR="00A63E43">
        <w:rPr>
          <w:iCs/>
          <w:szCs w:val="18"/>
        </w:rPr>
        <w:t>, „</w:t>
      </w:r>
      <w:r w:rsidRPr="00606E6B">
        <w:rPr>
          <w:i/>
          <w:szCs w:val="18"/>
        </w:rPr>
        <w:t>A közigazgatási határozatok bírósági felülvizsgálata</w:t>
      </w:r>
      <w:r w:rsidR="00A63E43">
        <w:rPr>
          <w:i/>
          <w:szCs w:val="18"/>
        </w:rPr>
        <w:t>”</w:t>
      </w:r>
      <w:r w:rsidRPr="00606E6B">
        <w:rPr>
          <w:iCs/>
          <w:szCs w:val="18"/>
        </w:rPr>
        <w:t xml:space="preserve"> Budapest: KJK, 1988.; </w:t>
      </w:r>
      <w:r w:rsidRPr="00606E6B">
        <w:rPr>
          <w:rFonts w:eastAsiaTheme="minorHAnsi"/>
          <w:iCs/>
          <w:smallCaps/>
          <w:lang w:eastAsia="en-US"/>
        </w:rPr>
        <w:t>Balázs</w:t>
      </w:r>
      <w:r w:rsidRPr="00606E6B">
        <w:rPr>
          <w:iCs/>
          <w:szCs w:val="18"/>
        </w:rPr>
        <w:t xml:space="preserve"> István –</w:t>
      </w:r>
      <w:r w:rsidRPr="00606E6B">
        <w:rPr>
          <w:rFonts w:eastAsiaTheme="minorHAnsi"/>
          <w:iCs/>
          <w:smallCaps/>
          <w:lang w:eastAsia="en-US"/>
        </w:rPr>
        <w:t xml:space="preserve">Balogh </w:t>
      </w:r>
      <w:r w:rsidRPr="00606E6B">
        <w:rPr>
          <w:iCs/>
          <w:szCs w:val="18"/>
        </w:rPr>
        <w:t xml:space="preserve">Zsolt – </w:t>
      </w:r>
      <w:r w:rsidRPr="00606E6B">
        <w:rPr>
          <w:rFonts w:eastAsiaTheme="minorHAnsi"/>
          <w:iCs/>
          <w:smallCaps/>
          <w:lang w:eastAsia="en-US"/>
        </w:rPr>
        <w:t>Mihajlov</w:t>
      </w:r>
      <w:r w:rsidRPr="00606E6B">
        <w:rPr>
          <w:iCs/>
          <w:szCs w:val="18"/>
        </w:rPr>
        <w:t xml:space="preserve"> Dobromir</w:t>
      </w:r>
      <w:r w:rsidR="00A63E43">
        <w:t>, „</w:t>
      </w:r>
      <w:r w:rsidRPr="00C14147">
        <w:rPr>
          <w:i/>
          <w:iCs/>
          <w:szCs w:val="18"/>
        </w:rPr>
        <w:t>A közigazgatási bíráskodás.</w:t>
      </w:r>
      <w:r w:rsidRPr="00203CF7">
        <w:rPr>
          <w:szCs w:val="18"/>
        </w:rPr>
        <w:t xml:space="preserve"> Budapest, 1988.; </w:t>
      </w:r>
      <w:r w:rsidRPr="008B5DBA">
        <w:rPr>
          <w:rFonts w:eastAsiaTheme="minorHAnsi"/>
          <w:smallCaps/>
          <w:lang w:eastAsia="en-US"/>
        </w:rPr>
        <w:t xml:space="preserve">Trócsányi </w:t>
      </w:r>
      <w:r w:rsidR="00D31158">
        <w:rPr>
          <w:rFonts w:eastAsiaTheme="minorHAnsi"/>
          <w:smallCaps/>
          <w:lang w:eastAsia="en-US"/>
        </w:rPr>
        <w:t>(</w:t>
      </w:r>
      <w:r w:rsidR="00D31158">
        <w:rPr>
          <w:rFonts w:eastAsiaTheme="minorHAnsi"/>
          <w:smallCaps/>
          <w:lang w:eastAsia="en-US"/>
        </w:rPr>
        <w:fldChar w:fldCharType="begin"/>
      </w:r>
      <w:r w:rsidR="00D31158">
        <w:rPr>
          <w:rFonts w:eastAsiaTheme="minorHAnsi"/>
          <w:smallCaps/>
          <w:lang w:eastAsia="en-US"/>
        </w:rPr>
        <w:instrText xml:space="preserve"> NOTEREF _Ref105675681 \h </w:instrText>
      </w:r>
      <w:r w:rsidR="00854A18">
        <w:rPr>
          <w:rFonts w:eastAsiaTheme="minorHAnsi"/>
          <w:smallCaps/>
          <w:lang w:eastAsia="en-US"/>
        </w:rPr>
        <w:instrText xml:space="preserve"> \* MERGEFORMAT </w:instrText>
      </w:r>
      <w:r w:rsidR="00D31158">
        <w:rPr>
          <w:rFonts w:eastAsiaTheme="minorHAnsi"/>
          <w:smallCaps/>
          <w:lang w:eastAsia="en-US"/>
        </w:rPr>
      </w:r>
      <w:r w:rsidR="00D31158">
        <w:rPr>
          <w:rFonts w:eastAsiaTheme="minorHAnsi"/>
          <w:smallCaps/>
          <w:lang w:eastAsia="en-US"/>
        </w:rPr>
        <w:fldChar w:fldCharType="separate"/>
      </w:r>
      <w:r w:rsidR="00D31158">
        <w:rPr>
          <w:rFonts w:eastAsiaTheme="minorHAnsi"/>
          <w:smallCaps/>
          <w:lang w:eastAsia="en-US"/>
        </w:rPr>
        <w:t>1</w:t>
      </w:r>
      <w:r w:rsidR="00D31158">
        <w:rPr>
          <w:rFonts w:eastAsiaTheme="minorHAnsi"/>
          <w:smallCaps/>
          <w:lang w:eastAsia="en-US"/>
        </w:rPr>
        <w:fldChar w:fldCharType="end"/>
      </w:r>
      <w:r w:rsidR="00D31158">
        <w:rPr>
          <w:rFonts w:eastAsiaTheme="minorHAnsi"/>
          <w:smallCaps/>
          <w:lang w:eastAsia="en-US"/>
        </w:rPr>
        <w:t xml:space="preserve">. </w:t>
      </w:r>
      <w:r w:rsidR="00D31158" w:rsidRPr="00D31158">
        <w:rPr>
          <w:rFonts w:eastAsiaTheme="minorHAnsi"/>
          <w:lang w:eastAsia="en-US"/>
        </w:rPr>
        <w:t>j</w:t>
      </w:r>
      <w:r w:rsidR="00D31158">
        <w:rPr>
          <w:rFonts w:eastAsiaTheme="minorHAnsi"/>
          <w:smallCaps/>
          <w:lang w:eastAsia="en-US"/>
        </w:rPr>
        <w:t>.)</w:t>
      </w:r>
      <w:r w:rsidR="00D31158">
        <w:rPr>
          <w:iCs/>
          <w:szCs w:val="18"/>
        </w:rPr>
        <w:t>.</w:t>
      </w:r>
    </w:p>
  </w:footnote>
  <w:footnote w:id="33">
    <w:p w14:paraId="7979C09D" w14:textId="06FF0788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Így a Polgári perrendtartásról szóló </w:t>
      </w:r>
      <w:r w:rsidRPr="00440171">
        <w:t>1952. évi III. törvény</w:t>
      </w:r>
      <w:r>
        <w:t xml:space="preserve"> módosításáról és az egyes közigazgatási nemperes eljárásokban alkalmazandó szabályokról szóló 2005. évi XVII. törv</w:t>
      </w:r>
      <w:r w:rsidRPr="005035C0">
        <w:t>ény (Knp</w:t>
      </w:r>
      <w:r w:rsidR="00D31158">
        <w:t>tv</w:t>
      </w:r>
      <w:r w:rsidRPr="005035C0">
        <w:t>.) csupán</w:t>
      </w:r>
      <w:r>
        <w:t xml:space="preserve"> a Pp. XX. fejezetének jelentős, novelláris módosítását hajtotta végre a jogalkotó, az addigi bírói gyakorlat és néhány előremutató új szabály kodifikációjával. A vitákról ld. pl. </w:t>
      </w:r>
      <w:r w:rsidR="008B5DBA">
        <w:t>F.</w:t>
      </w:r>
      <w:r w:rsidRPr="008B5DBA">
        <w:rPr>
          <w:rFonts w:eastAsiaTheme="minorHAnsi"/>
          <w:smallCaps/>
          <w:lang w:eastAsia="en-US"/>
        </w:rPr>
        <w:t>Rozsnyai</w:t>
      </w:r>
      <w:r w:rsidR="00D31158">
        <w:rPr>
          <w:rFonts w:eastAsiaTheme="minorHAnsi"/>
          <w:smallCaps/>
          <w:lang w:eastAsia="en-US"/>
        </w:rPr>
        <w:t xml:space="preserve"> </w:t>
      </w:r>
      <w:r w:rsidR="00D31158">
        <w:rPr>
          <w:rFonts w:eastAsiaTheme="minorHAnsi"/>
          <w:lang w:eastAsia="en-US"/>
        </w:rPr>
        <w:t>Krisztina</w:t>
      </w:r>
      <w:r w:rsidR="00D31158">
        <w:rPr>
          <w:rFonts w:eastAsiaTheme="minorHAnsi"/>
          <w:smallCaps/>
          <w:lang w:eastAsia="en-US"/>
        </w:rPr>
        <w:t>, „</w:t>
      </w:r>
      <w:r>
        <w:t xml:space="preserve">Szubjektív és/vagy objektív jogvédelem, </w:t>
      </w:r>
      <w:r w:rsidRPr="00D31158">
        <w:rPr>
          <w:i/>
          <w:iCs/>
        </w:rPr>
        <w:t>J</w:t>
      </w:r>
      <w:r w:rsidR="00D31158" w:rsidRPr="00D31158">
        <w:rPr>
          <w:i/>
          <w:iCs/>
        </w:rPr>
        <w:t xml:space="preserve">ogtudományi </w:t>
      </w:r>
      <w:r w:rsidRPr="00D31158">
        <w:rPr>
          <w:i/>
          <w:iCs/>
        </w:rPr>
        <w:t>K</w:t>
      </w:r>
      <w:r w:rsidR="00D31158" w:rsidRPr="00D31158">
        <w:rPr>
          <w:i/>
          <w:iCs/>
        </w:rPr>
        <w:t>özlöny</w:t>
      </w:r>
      <w:r>
        <w:t xml:space="preserve"> 2004</w:t>
      </w:r>
      <w:r w:rsidR="00D31158">
        <w:t>, 213-214.</w:t>
      </w:r>
    </w:p>
  </w:footnote>
  <w:footnote w:id="34">
    <w:p w14:paraId="22C2B9BE" w14:textId="263845AD" w:rsidR="0011003E" w:rsidRPr="00D31158" w:rsidRDefault="0011003E" w:rsidP="00854A18">
      <w:pPr>
        <w:pStyle w:val="Lbjegyzetszveg"/>
        <w:jc w:val="both"/>
        <w:rPr>
          <w:rFonts w:eastAsiaTheme="minorHAnsi"/>
          <w:smallCaps/>
          <w:lang w:eastAsia="en-US"/>
        </w:rPr>
      </w:pPr>
      <w:r>
        <w:rPr>
          <w:rStyle w:val="Lbjegyzet-hivatkozs"/>
        </w:rPr>
        <w:footnoteRef/>
      </w:r>
      <w:r>
        <w:t xml:space="preserve"> </w:t>
      </w:r>
      <w:r w:rsidR="008E7F82">
        <w:t xml:space="preserve">Erről tanuskodnak a 2010-ben tartott konferencia írása foglalt előadásai: </w:t>
      </w:r>
      <w:r w:rsidRPr="00D31158">
        <w:rPr>
          <w:rFonts w:eastAsiaTheme="minorHAnsi"/>
          <w:smallCaps/>
          <w:lang w:eastAsia="en-US"/>
        </w:rPr>
        <w:t>Varga Zs</w:t>
      </w:r>
      <w:r>
        <w:rPr>
          <w:i/>
          <w:szCs w:val="18"/>
        </w:rPr>
        <w:t xml:space="preserve">. </w:t>
      </w:r>
      <w:r w:rsidRPr="00D31158">
        <w:rPr>
          <w:iCs/>
          <w:szCs w:val="18"/>
        </w:rPr>
        <w:t>András</w:t>
      </w:r>
      <w:r>
        <w:rPr>
          <w:i/>
          <w:szCs w:val="18"/>
        </w:rPr>
        <w:t xml:space="preserve"> </w:t>
      </w:r>
      <w:r w:rsidR="00D31158">
        <w:rPr>
          <w:i/>
          <w:szCs w:val="18"/>
        </w:rPr>
        <w:t>–</w:t>
      </w:r>
      <w:r w:rsidRPr="00203CF7">
        <w:rPr>
          <w:i/>
          <w:szCs w:val="18"/>
        </w:rPr>
        <w:t xml:space="preserve"> </w:t>
      </w:r>
      <w:r w:rsidRPr="00D31158">
        <w:rPr>
          <w:rFonts w:eastAsiaTheme="minorHAnsi"/>
          <w:smallCaps/>
          <w:lang w:eastAsia="en-US"/>
        </w:rPr>
        <w:t xml:space="preserve">Fröhlich </w:t>
      </w:r>
      <w:r w:rsidRPr="00D31158">
        <w:rPr>
          <w:iCs/>
          <w:szCs w:val="18"/>
        </w:rPr>
        <w:t>Johanna</w:t>
      </w:r>
      <w:r w:rsidR="008E7F82">
        <w:rPr>
          <w:iCs/>
          <w:szCs w:val="18"/>
        </w:rPr>
        <w:t xml:space="preserve"> (szerk.)</w:t>
      </w:r>
      <w:r w:rsidR="00D31158" w:rsidRPr="00D31158">
        <w:rPr>
          <w:i/>
          <w:szCs w:val="18"/>
        </w:rPr>
        <w:t>, „</w:t>
      </w:r>
      <w:r w:rsidRPr="00D31158">
        <w:rPr>
          <w:i/>
          <w:szCs w:val="18"/>
        </w:rPr>
        <w:t>Közérdekvédelem – A közigazgatási bíráskodás múltja és jövője</w:t>
      </w:r>
      <w:r w:rsidR="00382CEB">
        <w:rPr>
          <w:i/>
          <w:szCs w:val="18"/>
        </w:rPr>
        <w:t>”</w:t>
      </w:r>
      <w:r w:rsidRPr="00D31158">
        <w:rPr>
          <w:i/>
          <w:szCs w:val="18"/>
        </w:rPr>
        <w:t xml:space="preserve"> </w:t>
      </w:r>
      <w:r w:rsidRPr="00203CF7">
        <w:rPr>
          <w:szCs w:val="18"/>
        </w:rPr>
        <w:t>Budapest</w:t>
      </w:r>
      <w:r>
        <w:rPr>
          <w:szCs w:val="18"/>
        </w:rPr>
        <w:t>:</w:t>
      </w:r>
      <w:r w:rsidRPr="00203CF7">
        <w:rPr>
          <w:szCs w:val="18"/>
        </w:rPr>
        <w:t xml:space="preserve"> </w:t>
      </w:r>
      <w:r>
        <w:rPr>
          <w:szCs w:val="18"/>
        </w:rPr>
        <w:t xml:space="preserve">PPKE, </w:t>
      </w:r>
      <w:r w:rsidRPr="00203CF7">
        <w:rPr>
          <w:szCs w:val="18"/>
        </w:rPr>
        <w:t>2011.</w:t>
      </w:r>
    </w:p>
  </w:footnote>
  <w:footnote w:id="35">
    <w:p w14:paraId="5DF3E3AC" w14:textId="2898D904" w:rsidR="004F5935" w:rsidRPr="00476F69" w:rsidRDefault="004F5935" w:rsidP="00D138AD">
      <w:pPr>
        <w:pStyle w:val="fszveg"/>
        <w:spacing w:line="240" w:lineRule="auto"/>
        <w:ind w:firstLine="0"/>
        <w:rPr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="003A1876" w:rsidRPr="00476F69">
        <w:rPr>
          <w:szCs w:val="20"/>
        </w:rPr>
        <w:t>Ez az</w:t>
      </w:r>
      <w:r w:rsidRPr="00476F69">
        <w:rPr>
          <w:szCs w:val="20"/>
        </w:rPr>
        <w:t xml:space="preserve"> egyedi megoldás két </w:t>
      </w:r>
      <w:r w:rsidR="003A1876" w:rsidRPr="00476F69">
        <w:rPr>
          <w:szCs w:val="20"/>
        </w:rPr>
        <w:t>praktikus</w:t>
      </w:r>
      <w:r w:rsidRPr="00476F69">
        <w:rPr>
          <w:szCs w:val="20"/>
        </w:rPr>
        <w:t xml:space="preserve"> ténynek tudható be. E</w:t>
      </w:r>
      <w:r w:rsidR="00B11FA0" w:rsidRPr="00476F69">
        <w:rPr>
          <w:szCs w:val="20"/>
        </w:rPr>
        <w:t>gyrészt</w:t>
      </w:r>
      <w:r w:rsidRPr="00476F69">
        <w:rPr>
          <w:szCs w:val="20"/>
        </w:rPr>
        <w:t xml:space="preserve"> a munkaügyi bíróságok már 2011 előtt is megyei szintű különbíróságokként szerveződtek (egy-egy munkaügyi bíróság minden megyei bírósági székhelyen), és ez az infrastruktúra a kormány értékelése szerint költséghatékony alapot jelentett a közigazgatási bíráskodáshoz. Másr</w:t>
      </w:r>
      <w:r w:rsidR="00B11FA0" w:rsidRPr="00476F69">
        <w:rPr>
          <w:szCs w:val="20"/>
        </w:rPr>
        <w:t>észt</w:t>
      </w:r>
      <w:r w:rsidRPr="00476F69">
        <w:rPr>
          <w:szCs w:val="20"/>
        </w:rPr>
        <w:t xml:space="preserve"> a régi rendszerben a munkaügyi bíróságok számos közigazgatási ügyben rendelkeztek </w:t>
      </w:r>
      <w:r w:rsidR="0067506B" w:rsidRPr="00476F69">
        <w:rPr>
          <w:szCs w:val="20"/>
        </w:rPr>
        <w:t>hatáskörrel</w:t>
      </w:r>
      <w:r w:rsidRPr="00476F69">
        <w:rPr>
          <w:szCs w:val="20"/>
        </w:rPr>
        <w:t>: a társadalombiztosítási határozatok 1992-es átadását követték a munkaügyi, a munkaegészségügyi és munkavédelmi hatóság</w:t>
      </w:r>
      <w:r w:rsidR="00E504DC" w:rsidRPr="00476F69">
        <w:rPr>
          <w:szCs w:val="20"/>
        </w:rPr>
        <w:t>i</w:t>
      </w:r>
      <w:r w:rsidRPr="00476F69">
        <w:rPr>
          <w:szCs w:val="20"/>
        </w:rPr>
        <w:t xml:space="preserve"> aktus</w:t>
      </w:r>
      <w:r w:rsidR="00E504DC" w:rsidRPr="00476F69">
        <w:rPr>
          <w:szCs w:val="20"/>
        </w:rPr>
        <w:t>ok</w:t>
      </w:r>
      <w:r w:rsidRPr="00476F69">
        <w:rPr>
          <w:szCs w:val="20"/>
        </w:rPr>
        <w:t xml:space="preserve">. A munkaügyi bíróságok </w:t>
      </w:r>
      <w:r w:rsidR="00E504DC" w:rsidRPr="00476F69">
        <w:rPr>
          <w:szCs w:val="20"/>
        </w:rPr>
        <w:t>jártak el a közszolgálati vitákban is. Így</w:t>
      </w:r>
      <w:r w:rsidRPr="00476F69">
        <w:rPr>
          <w:szCs w:val="20"/>
        </w:rPr>
        <w:t xml:space="preserve"> egzisztenciális fenyegetésként élték meg annak lehetőségét, hogy ezeket az ügyeket visszaadják a közigazgatási bíróságoknak, mivel ezek az ügyek tették ki a munkaügyi bíróságok munkaterhének mintegy kétharmadát. Ezért ahelyett, hogy független közigazgatási bíróságokat hoztak volna létre</w:t>
      </w:r>
      <w:r w:rsidR="00476F69" w:rsidRPr="00476F69">
        <w:rPr>
          <w:szCs w:val="20"/>
        </w:rPr>
        <w:t>,</w:t>
      </w:r>
      <w:r w:rsidRPr="00476F69">
        <w:rPr>
          <w:szCs w:val="20"/>
        </w:rPr>
        <w:t xml:space="preserve"> összevonták őket a munkaügyi bíróságokkal.</w:t>
      </w:r>
    </w:p>
  </w:footnote>
  <w:footnote w:id="36">
    <w:p w14:paraId="06004A50" w14:textId="6E64548C" w:rsidR="00D14123" w:rsidRDefault="00D14123">
      <w:pPr>
        <w:pStyle w:val="Lbjegyzetszveg"/>
      </w:pPr>
      <w:r>
        <w:rPr>
          <w:rStyle w:val="Lbjegyzet-hivatkozs"/>
        </w:rPr>
        <w:footnoteRef/>
      </w:r>
      <w:r>
        <w:t xml:space="preserve"> Herbert </w:t>
      </w:r>
      <w:r w:rsidRPr="00D14123">
        <w:rPr>
          <w:smallCaps/>
        </w:rPr>
        <w:t>Küpper:</w:t>
      </w:r>
      <w:r>
        <w:t xml:space="preserve"> Magyarország átalakuló közigazgatási bíráskodása. </w:t>
      </w:r>
      <w:r w:rsidRPr="00D14123">
        <w:rPr>
          <w:i/>
          <w:iCs/>
        </w:rPr>
        <w:t>MTA Law Working Papers</w:t>
      </w:r>
      <w:r>
        <w:t>, 2014/59.</w:t>
      </w:r>
      <w:r w:rsidR="008E7F82">
        <w:t>, 11.</w:t>
      </w:r>
      <w:r>
        <w:t xml:space="preserve"> </w:t>
      </w:r>
      <w:hyperlink r:id="rId4" w:history="1">
        <w:r w:rsidRPr="00892205">
          <w:rPr>
            <w:rStyle w:val="Hiperhivatkozs"/>
            <w:rFonts w:cstheme="minorHAnsi"/>
          </w:rPr>
          <w:t>http://jog.tk.mta.hu/uploads/files/mtalwp/2014_59_Kupper.pdf</w:t>
        </w:r>
      </w:hyperlink>
      <w:r>
        <w:t xml:space="preserve"> </w:t>
      </w:r>
    </w:p>
  </w:footnote>
  <w:footnote w:id="37">
    <w:p w14:paraId="14C8C438" w14:textId="3660CAD8" w:rsidR="0011003E" w:rsidRDefault="0011003E" w:rsidP="00EB12C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808EE">
        <w:rPr>
          <w:szCs w:val="20"/>
        </w:rPr>
        <w:t xml:space="preserve">A jogalkotó ekkor eljárási eszközökkel kísérelte meg a szervezeti javaslat főbb elemeit megvalósítani. </w:t>
      </w:r>
      <w:r>
        <w:rPr>
          <w:szCs w:val="20"/>
        </w:rPr>
        <w:t xml:space="preserve">Ide kapcsolódott </w:t>
      </w:r>
      <w:r w:rsidRPr="00D808EE">
        <w:rPr>
          <w:szCs w:val="20"/>
        </w:rPr>
        <w:t xml:space="preserve">a közigazgatási felsőbíróságként eljáró bíróságra vonatkozó rendelkezések alaptörvényellenességét a köztársasági elnök indítványa alapján </w:t>
      </w:r>
      <w:r>
        <w:rPr>
          <w:szCs w:val="20"/>
        </w:rPr>
        <w:t xml:space="preserve">megállapító </w:t>
      </w:r>
      <w:r w:rsidRPr="00D808EE">
        <w:rPr>
          <w:szCs w:val="20"/>
        </w:rPr>
        <w:t>1/2017. (I. 17.) AB határozat</w:t>
      </w:r>
      <w:r>
        <w:rPr>
          <w:szCs w:val="20"/>
        </w:rPr>
        <w:t>, amely azonban</w:t>
      </w:r>
      <w:r w:rsidRPr="008B4EFA">
        <w:rPr>
          <w:szCs w:val="20"/>
        </w:rPr>
        <w:t xml:space="preserve"> nem érintette</w:t>
      </w:r>
      <w:r w:rsidRPr="00BB67B8">
        <w:rPr>
          <w:szCs w:val="20"/>
        </w:rPr>
        <w:t xml:space="preserve"> </w:t>
      </w:r>
      <w:r w:rsidRPr="00D808EE">
        <w:rPr>
          <w:szCs w:val="20"/>
        </w:rPr>
        <w:t>a regionális illetékesség és a másodfokú hatáskörök egy bírósági fórumra koncentrálását.</w:t>
      </w:r>
      <w:r w:rsidR="00EB12C3">
        <w:rPr>
          <w:szCs w:val="20"/>
        </w:rPr>
        <w:t xml:space="preserve"> Ld. </w:t>
      </w:r>
      <w:r w:rsidR="00EB12C3" w:rsidRPr="00EB12C3">
        <w:rPr>
          <w:szCs w:val="20"/>
        </w:rPr>
        <w:t>Chronowski Nóra</w:t>
      </w:r>
      <w:r w:rsidR="00EB12C3">
        <w:rPr>
          <w:szCs w:val="20"/>
        </w:rPr>
        <w:t>, „</w:t>
      </w:r>
      <w:r w:rsidR="00EB12C3" w:rsidRPr="00EB12C3">
        <w:rPr>
          <w:szCs w:val="20"/>
        </w:rPr>
        <w:t>A sarkalatosság árnyalatai – alkotmánybírósági döntés a közigazgatási felsőbíróság apropóján</w:t>
      </w:r>
      <w:r w:rsidR="00EB12C3">
        <w:rPr>
          <w:szCs w:val="20"/>
        </w:rPr>
        <w:t xml:space="preserve">” </w:t>
      </w:r>
      <w:r w:rsidR="00EB12C3" w:rsidRPr="00EB12C3">
        <w:rPr>
          <w:i/>
          <w:iCs/>
          <w:szCs w:val="20"/>
        </w:rPr>
        <w:t xml:space="preserve">Közjogi Szemle </w:t>
      </w:r>
      <w:r w:rsidR="00EB12C3" w:rsidRPr="00EB12C3">
        <w:rPr>
          <w:szCs w:val="20"/>
        </w:rPr>
        <w:t>10</w:t>
      </w:r>
      <w:r w:rsidR="00EB12C3">
        <w:rPr>
          <w:szCs w:val="20"/>
        </w:rPr>
        <w:t>. évf. 2017/</w:t>
      </w:r>
      <w:r w:rsidR="00EB12C3" w:rsidRPr="00EB12C3">
        <w:rPr>
          <w:szCs w:val="20"/>
        </w:rPr>
        <w:t>1</w:t>
      </w:r>
      <w:r w:rsidR="00EB12C3">
        <w:rPr>
          <w:szCs w:val="20"/>
        </w:rPr>
        <w:t xml:space="preserve">: </w:t>
      </w:r>
      <w:r w:rsidR="00EB12C3" w:rsidRPr="00EB12C3">
        <w:rPr>
          <w:szCs w:val="20"/>
        </w:rPr>
        <w:t>62-63.</w:t>
      </w:r>
    </w:p>
  </w:footnote>
  <w:footnote w:id="38">
    <w:p w14:paraId="52F326D5" w14:textId="5E60881D" w:rsidR="00382CEB" w:rsidRDefault="00382CE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E7F82">
        <w:rPr>
          <w:smallCaps/>
          <w:color w:val="333333"/>
          <w:szCs w:val="20"/>
          <w:shd w:val="clear" w:color="auto" w:fill="FFFFFF"/>
        </w:rPr>
        <w:t xml:space="preserve">Trócsányi </w:t>
      </w:r>
      <w:r>
        <w:rPr>
          <w:color w:val="333333"/>
          <w:szCs w:val="20"/>
          <w:shd w:val="clear" w:color="auto" w:fill="FFFFFF"/>
        </w:rPr>
        <w:t>László</w:t>
      </w:r>
      <w:r w:rsidRPr="00382CEB">
        <w:rPr>
          <w:color w:val="333333"/>
          <w:szCs w:val="20"/>
          <w:shd w:val="clear" w:color="auto" w:fill="FFFFFF"/>
        </w:rPr>
        <w:t xml:space="preserve">, </w:t>
      </w:r>
      <w:r>
        <w:rPr>
          <w:color w:val="333333"/>
          <w:szCs w:val="20"/>
          <w:shd w:val="clear" w:color="auto" w:fill="FFFFFF"/>
        </w:rPr>
        <w:t>„</w:t>
      </w:r>
      <w:r w:rsidRPr="00382CEB">
        <w:rPr>
          <w:color w:val="333333"/>
          <w:szCs w:val="20"/>
          <w:shd w:val="clear" w:color="auto" w:fill="FFFFFF"/>
        </w:rPr>
        <w:t>A rendszerváltoztatás mostohagyermeke révbe ér, avagy az önálló közigazgatási bíráskodás megteremtéséhez vezető jogalkotói út</w:t>
      </w:r>
      <w:r>
        <w:rPr>
          <w:color w:val="333333"/>
          <w:szCs w:val="20"/>
          <w:shd w:val="clear" w:color="auto" w:fill="FFFFFF"/>
        </w:rPr>
        <w:t>”</w:t>
      </w:r>
      <w:r w:rsidRPr="00382CEB">
        <w:rPr>
          <w:color w:val="333333"/>
          <w:szCs w:val="20"/>
          <w:shd w:val="clear" w:color="auto" w:fill="FFFFFF"/>
        </w:rPr>
        <w:t xml:space="preserve"> </w:t>
      </w:r>
      <w:r w:rsidRPr="00382CEB">
        <w:rPr>
          <w:i/>
          <w:iCs/>
          <w:color w:val="333333"/>
          <w:szCs w:val="20"/>
          <w:shd w:val="clear" w:color="auto" w:fill="FFFFFF"/>
        </w:rPr>
        <w:t>Acta Humana</w:t>
      </w:r>
      <w:r w:rsidRPr="006A702F">
        <w:rPr>
          <w:color w:val="333333"/>
          <w:szCs w:val="20"/>
          <w:shd w:val="clear" w:color="auto" w:fill="FFFFFF"/>
        </w:rPr>
        <w:t xml:space="preserve"> 2019</w:t>
      </w:r>
      <w:r>
        <w:rPr>
          <w:color w:val="333333"/>
          <w:szCs w:val="20"/>
          <w:shd w:val="clear" w:color="auto" w:fill="FFFFFF"/>
        </w:rPr>
        <w:t>/</w:t>
      </w:r>
      <w:r w:rsidRPr="006A702F">
        <w:rPr>
          <w:color w:val="333333"/>
          <w:szCs w:val="20"/>
          <w:shd w:val="clear" w:color="auto" w:fill="FFFFFF"/>
        </w:rPr>
        <w:t>7</w:t>
      </w:r>
      <w:r>
        <w:rPr>
          <w:color w:val="333333"/>
          <w:szCs w:val="20"/>
          <w:shd w:val="clear" w:color="auto" w:fill="FFFFFF"/>
        </w:rPr>
        <w:t>:</w:t>
      </w:r>
      <w:r w:rsidRPr="006A702F">
        <w:rPr>
          <w:color w:val="333333"/>
          <w:szCs w:val="20"/>
          <w:shd w:val="clear" w:color="auto" w:fill="FFFFFF"/>
        </w:rPr>
        <w:t xml:space="preserve"> 7</w:t>
      </w:r>
      <w:r>
        <w:rPr>
          <w:color w:val="333333"/>
          <w:szCs w:val="20"/>
          <w:shd w:val="clear" w:color="auto" w:fill="FFFFFF"/>
        </w:rPr>
        <w:t>.</w:t>
      </w:r>
      <w:r w:rsidR="00D14123">
        <w:rPr>
          <w:color w:val="333333"/>
          <w:szCs w:val="20"/>
          <w:shd w:val="clear" w:color="auto" w:fill="FFFFFF"/>
        </w:rPr>
        <w:t xml:space="preserve">, </w:t>
      </w:r>
      <w:r w:rsidR="008E7F82" w:rsidRPr="008E7F82">
        <w:rPr>
          <w:smallCaps/>
          <w:color w:val="333333"/>
          <w:szCs w:val="20"/>
          <w:shd w:val="clear" w:color="auto" w:fill="FFFFFF"/>
        </w:rPr>
        <w:t>Patyi,</w:t>
      </w:r>
      <w:r w:rsidR="008E7F82">
        <w:rPr>
          <w:color w:val="333333"/>
          <w:szCs w:val="20"/>
          <w:shd w:val="clear" w:color="auto" w:fill="FFFFFF"/>
        </w:rPr>
        <w:t xml:space="preserve"> (16. lj.) 2019, 303-322.</w:t>
      </w:r>
    </w:p>
  </w:footnote>
  <w:footnote w:id="39">
    <w:p w14:paraId="28DF0D3C" w14:textId="4966DC19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szCs w:val="20"/>
        </w:rPr>
        <w:t xml:space="preserve">E módosításhoz kapcsolódóan az Országgyűlés </w:t>
      </w:r>
      <w:r w:rsidRPr="00D808EE">
        <w:rPr>
          <w:szCs w:val="20"/>
        </w:rPr>
        <w:t>elfogadta a közigazgatási bíróságokról szóló 2018. évi CXXX. törvényt (Kbtv.), amely</w:t>
      </w:r>
      <w:r>
        <w:rPr>
          <w:szCs w:val="20"/>
        </w:rPr>
        <w:t xml:space="preserve"> eredetileg</w:t>
      </w:r>
      <w:r w:rsidRPr="00D808EE">
        <w:rPr>
          <w:szCs w:val="20"/>
        </w:rPr>
        <w:t xml:space="preserve"> 2020. január 1</w:t>
      </w:r>
      <w:r>
        <w:rPr>
          <w:szCs w:val="20"/>
        </w:rPr>
        <w:t>-jén lépett volna hatályba. A hatályba léptető törvényt már hatályon kívül helyezte az Országgyűlés, de e technika miatt maga a Kbtv. továbbra is – hatálytalan – része a jogrendszerünknek</w:t>
      </w:r>
      <w:r w:rsidRPr="00D808EE">
        <w:rPr>
          <w:szCs w:val="20"/>
        </w:rPr>
        <w:t>.</w:t>
      </w:r>
    </w:p>
  </w:footnote>
  <w:footnote w:id="40">
    <w:p w14:paraId="746B1E25" w14:textId="4AB858D4" w:rsidR="0096127E" w:rsidRDefault="0096127E" w:rsidP="0096127E">
      <w:pPr>
        <w:pStyle w:val="Lbjegyzetszveg"/>
      </w:pPr>
      <w:r>
        <w:rPr>
          <w:rStyle w:val="Lbjegyzet-hivatkozs"/>
        </w:rPr>
        <w:footnoteRef/>
      </w:r>
      <w:r>
        <w:t xml:space="preserve"> A jogvédelmet érintő másik fontos változtatás a fellebbezés lehetőségének minimálisra szorítása volt. Ld. B</w:t>
      </w:r>
      <w:r w:rsidRPr="00DC1A71">
        <w:rPr>
          <w:smallCaps/>
        </w:rPr>
        <w:t>encsik</w:t>
      </w:r>
      <w:r>
        <w:t xml:space="preserve"> András, „A közigazgatási jogorvoslathoz való jog átalakulása – (szervezeti) reformok árnyékában” In: </w:t>
      </w:r>
      <w:r w:rsidRPr="00DC1A71">
        <w:rPr>
          <w:smallCaps/>
        </w:rPr>
        <w:t>Peres</w:t>
      </w:r>
      <w:r>
        <w:t xml:space="preserve">, Zsuzsanna; </w:t>
      </w:r>
      <w:r w:rsidRPr="00DC1A71">
        <w:rPr>
          <w:smallCaps/>
        </w:rPr>
        <w:t>Pál,</w:t>
      </w:r>
      <w:r>
        <w:t xml:space="preserve"> Gábor (szerk.), „</w:t>
      </w:r>
      <w:r w:rsidRPr="00DC1A71">
        <w:rPr>
          <w:i/>
          <w:iCs/>
        </w:rPr>
        <w:t>Semper ad perfectum. Ünnepi tanulmányok a 80 éves Tamás András tiszteletére</w:t>
      </w:r>
      <w:r>
        <w:t xml:space="preserve">” Budapest: Ludovika, </w:t>
      </w:r>
      <w:r w:rsidRPr="00A50CDB">
        <w:t>2021,</w:t>
      </w:r>
      <w:r>
        <w:t xml:space="preserve"> 83-92.</w:t>
      </w:r>
    </w:p>
  </w:footnote>
  <w:footnote w:id="41">
    <w:p w14:paraId="756D7ED6" w14:textId="64ADD254" w:rsidR="00FA0E66" w:rsidRDefault="00FA0E66">
      <w:pPr>
        <w:pStyle w:val="Lbjegyzetszveg"/>
      </w:pPr>
      <w:r>
        <w:rPr>
          <w:rStyle w:val="Lbjegyzet-hivatkozs"/>
        </w:rPr>
        <w:footnoteRef/>
      </w:r>
      <w:r>
        <w:t xml:space="preserve"> Ezt az elkülönültséget némiképpen rontja az, hogy 2022 tavaszától kezdve ismét háromfokú a közigazgatási ügyben eljáró bíróságok rendszere, viszont a másodfokon – az elsőfokú bíróságok végzéseivel szembeni fellebbezési eljárásokban – eljáró Fővárosi Ítélőtáblán egyelőre alig vannak közigazgatási bírák. Remélhetőleg ez csupán átmeneti állapot.</w:t>
      </w:r>
    </w:p>
  </w:footnote>
  <w:footnote w:id="42">
    <w:p w14:paraId="42556730" w14:textId="3257DC97" w:rsidR="00FA0E66" w:rsidRDefault="00FA0E66" w:rsidP="00455276">
      <w:pPr>
        <w:pStyle w:val="Lbjegyzetszveg"/>
      </w:pPr>
      <w:r>
        <w:rPr>
          <w:rStyle w:val="Lbjegyzet-hivatkozs"/>
        </w:rPr>
        <w:footnoteRef/>
      </w:r>
      <w:r w:rsidR="00382CEB">
        <w:t xml:space="preserve"> Részletesen ld. </w:t>
      </w:r>
      <w:r w:rsidR="00455276">
        <w:t xml:space="preserve">F. </w:t>
      </w:r>
      <w:r w:rsidR="00455276" w:rsidRPr="00455276">
        <w:rPr>
          <w:smallCaps/>
        </w:rPr>
        <w:t>Rozsnyai</w:t>
      </w:r>
      <w:r w:rsidR="00455276">
        <w:t xml:space="preserve"> Krisztina, „The Procedural Autonomy of Hungarian Administrative Justice as a Precondition of Effective Judicial Protection” </w:t>
      </w:r>
      <w:r w:rsidR="00455276" w:rsidRPr="00455276">
        <w:rPr>
          <w:i/>
          <w:iCs/>
        </w:rPr>
        <w:t>Studia Iuridica Lublinensia</w:t>
      </w:r>
      <w:r w:rsidR="00455276">
        <w:t xml:space="preserve"> (vol. 30) 2021:4, 491-503. doi: 10.17951/sil.2021.30.4.491-503.</w:t>
      </w:r>
    </w:p>
  </w:footnote>
  <w:footnote w:id="43">
    <w:p w14:paraId="0D1B8ADA" w14:textId="375AF35A" w:rsidR="00217A9B" w:rsidRDefault="00217A9B">
      <w:pPr>
        <w:pStyle w:val="Lbjegyzetszveg"/>
      </w:pPr>
      <w:r>
        <w:rPr>
          <w:rStyle w:val="Lbjegyzet-hivatkozs"/>
        </w:rPr>
        <w:footnoteRef/>
      </w:r>
      <w:r>
        <w:t xml:space="preserve"> Ez természetesen nem jelenti azt, hogy ne lennének olyan, a bírósági eljárásokra vonatkozó általános szabályok, amelyeket szükségtelen lenne duplikálni, így a legtöbb esetben e külön törvények is visszautalnak a polgári perrendtartásokra – ahogy ezt a Kp. is teszi. Ld. </w:t>
      </w:r>
      <w:r w:rsidR="00372473">
        <w:t xml:space="preserve">F. </w:t>
      </w:r>
      <w:r w:rsidR="00372473" w:rsidRPr="00455276">
        <w:rPr>
          <w:smallCaps/>
        </w:rPr>
        <w:t>Rozsnyai</w:t>
      </w:r>
      <w:r w:rsidR="00372473">
        <w:t xml:space="preserve"> Krisztina,</w:t>
      </w:r>
      <w:r w:rsidR="00372473" w:rsidRPr="00372473">
        <w:t xml:space="preserve"> </w:t>
      </w:r>
      <w:r w:rsidR="00372473">
        <w:t>„</w:t>
      </w:r>
      <w:r w:rsidR="00372473" w:rsidRPr="00372473">
        <w:t>A közigazgatási perjog emancipációja: a közigazgatási perrendtartás</w:t>
      </w:r>
      <w:r w:rsidR="00372473">
        <w:t>”</w:t>
      </w:r>
      <w:r w:rsidR="00372473" w:rsidRPr="00372473">
        <w:t xml:space="preserve"> </w:t>
      </w:r>
      <w:r w:rsidR="00372473" w:rsidRPr="00372473">
        <w:rPr>
          <w:i/>
          <w:iCs/>
        </w:rPr>
        <w:t>Jogtudományi Közlöny</w:t>
      </w:r>
      <w:r w:rsidR="00372473" w:rsidRPr="00372473">
        <w:t>, 72</w:t>
      </w:r>
      <w:r w:rsidR="00372473">
        <w:t>. évf. 2017/</w:t>
      </w:r>
      <w:r w:rsidR="00372473" w:rsidRPr="00372473">
        <w:t>5</w:t>
      </w:r>
      <w:r w:rsidR="00372473">
        <w:t xml:space="preserve">: </w:t>
      </w:r>
      <w:r w:rsidR="00372473" w:rsidRPr="00372473">
        <w:t>235–242.</w:t>
      </w:r>
    </w:p>
  </w:footnote>
  <w:footnote w:id="44">
    <w:p w14:paraId="49CB3C10" w14:textId="73AFF605" w:rsidR="007B1662" w:rsidRDefault="007B1662">
      <w:pPr>
        <w:pStyle w:val="Lbjegyzetszveg"/>
      </w:pPr>
      <w:r>
        <w:rPr>
          <w:rStyle w:val="Lbjegyzet-hivatkozs"/>
        </w:rPr>
        <w:footnoteRef/>
      </w:r>
      <w:r>
        <w:t xml:space="preserve"> A Kúria </w:t>
      </w:r>
      <w:r w:rsidRPr="007B1662">
        <w:t>közigazgatási perjog</w:t>
      </w:r>
      <w:r>
        <w:t>i</w:t>
      </w:r>
      <w:r w:rsidRPr="007B1662">
        <w:t xml:space="preserve"> joggyakorlat-elemző csoport</w:t>
      </w:r>
      <w:r>
        <w:t>jának</w:t>
      </w:r>
      <w:r w:rsidRPr="007B1662">
        <w:t xml:space="preserve"> összefoglaló véleménye</w:t>
      </w:r>
      <w:r>
        <w:t xml:space="preserve"> (I.), 2013. </w:t>
      </w:r>
      <w:hyperlink r:id="rId5" w:history="1">
        <w:r w:rsidR="00232CCE" w:rsidRPr="00892205">
          <w:rPr>
            <w:rStyle w:val="Hiperhivatkozs"/>
            <w:rFonts w:cstheme="minorHAnsi"/>
          </w:rPr>
          <w:t>https://www.kuria-birosag.hu/sites/default/files/joggyak/a_kozigazgatasi_perjog_joggyakorlat-elemzo_csoport_osszefoglalo_velemenye.pdf</w:t>
        </w:r>
      </w:hyperlink>
      <w:r w:rsidR="00232CCE">
        <w:t xml:space="preserve"> </w:t>
      </w:r>
    </w:p>
  </w:footnote>
  <w:footnote w:id="45">
    <w:p w14:paraId="5728E627" w14:textId="689D74B3" w:rsidR="00CD43EA" w:rsidRDefault="00CD43EA">
      <w:pPr>
        <w:pStyle w:val="Lbjegyzetszveg"/>
      </w:pPr>
      <w:r>
        <w:rPr>
          <w:rStyle w:val="Lbjegyzet-hivatkozs"/>
        </w:rPr>
        <w:footnoteRef/>
      </w:r>
      <w:r>
        <w:t xml:space="preserve"> Ld. pl. a jogutódlás kérdéseit, </w:t>
      </w:r>
      <w:r w:rsidR="007B1662">
        <w:t>F</w:t>
      </w:r>
      <w:r w:rsidR="007B1662" w:rsidRPr="00C7360F">
        <w:rPr>
          <w:smallCaps/>
        </w:rPr>
        <w:t xml:space="preserve">azekas </w:t>
      </w:r>
      <w:r w:rsidR="007B1662">
        <w:t xml:space="preserve">Marianna „Kp. 25. §” In: </w:t>
      </w:r>
      <w:r w:rsidR="007B1662" w:rsidRPr="00B758EF">
        <w:rPr>
          <w:smallCaps/>
        </w:rPr>
        <w:t xml:space="preserve">Barabás </w:t>
      </w:r>
      <w:r w:rsidR="007B1662">
        <w:t xml:space="preserve">Gergely – F. </w:t>
      </w:r>
      <w:r w:rsidR="007B1662" w:rsidRPr="00B758EF">
        <w:rPr>
          <w:smallCaps/>
        </w:rPr>
        <w:t xml:space="preserve">Rozsnyai </w:t>
      </w:r>
      <w:r w:rsidR="007B1662">
        <w:t xml:space="preserve">Krisztina – </w:t>
      </w:r>
      <w:r w:rsidR="007B1662" w:rsidRPr="00290677">
        <w:rPr>
          <w:smallCaps/>
        </w:rPr>
        <w:t>Kovács</w:t>
      </w:r>
      <w:r w:rsidR="007B1662">
        <w:t xml:space="preserve"> András </w:t>
      </w:r>
      <w:r w:rsidR="00290677">
        <w:t xml:space="preserve">György </w:t>
      </w:r>
      <w:r w:rsidR="007B1662">
        <w:t xml:space="preserve">(szerk.), </w:t>
      </w:r>
      <w:r w:rsidR="007B1662" w:rsidRPr="004866CC">
        <w:rPr>
          <w:i/>
          <w:iCs/>
        </w:rPr>
        <w:t>Kommentár a közigazgatási perrendtartáshoz</w:t>
      </w:r>
      <w:r w:rsidR="007B1662">
        <w:t xml:space="preserve">, Budapest: Wolters Kluwer 2018. </w:t>
      </w:r>
      <w:hyperlink r:id="rId6" w:history="1">
        <w:r w:rsidR="007B1662" w:rsidRPr="00892205">
          <w:rPr>
            <w:rStyle w:val="Hiperhivatkozs"/>
            <w:rFonts w:cstheme="minorHAnsi"/>
          </w:rPr>
          <w:t>www.uj.jogtar.hu</w:t>
        </w:r>
      </w:hyperlink>
    </w:p>
  </w:footnote>
  <w:footnote w:id="46">
    <w:p w14:paraId="4A07C233" w14:textId="67EBEE00" w:rsidR="00232CCE" w:rsidRDefault="00232CCE" w:rsidP="0029067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rendelkezési </w:t>
      </w:r>
      <w:r w:rsidRPr="00232CCE">
        <w:t xml:space="preserve">elv továbbra is az egyik legfontosabb alapelv. </w:t>
      </w:r>
      <w:r>
        <w:t>A</w:t>
      </w:r>
      <w:r w:rsidRPr="00232CCE">
        <w:t xml:space="preserve"> </w:t>
      </w:r>
      <w:r>
        <w:t>hivatalbóliság</w:t>
      </w:r>
      <w:r w:rsidRPr="00232CCE">
        <w:t xml:space="preserve"> </w:t>
      </w:r>
      <w:r>
        <w:t xml:space="preserve">korlátozottan, </w:t>
      </w:r>
      <w:r w:rsidRPr="00232CCE">
        <w:t>a törvény keretein belül érvényesül</w:t>
      </w:r>
      <w:r>
        <w:t>. A fegyveregyenlőséget szolgálja, hogy</w:t>
      </w:r>
      <w:r w:rsidRPr="00232CCE">
        <w:t xml:space="preserve"> lehetőség van a bizonyítás hivatalból</w:t>
      </w:r>
      <w:r>
        <w:t>i</w:t>
      </w:r>
      <w:r w:rsidRPr="00232CCE">
        <w:t xml:space="preserve"> elrendelésére, másrészt a bírónak bizonyos hibákat hivatalból </w:t>
      </w:r>
      <w:r>
        <w:t xml:space="preserve">észlelnie </w:t>
      </w:r>
      <w:r w:rsidRPr="00232CCE">
        <w:t>is kell</w:t>
      </w:r>
      <w:r w:rsidR="00290677">
        <w:t>, s a 89. § (3) bekezdése értelmében hivatalból kell a jogsértés következményeinek felszámolásáról rendelkeznie a bírónak</w:t>
      </w:r>
      <w:r w:rsidRPr="00232CCE">
        <w:t>. E szabályok</w:t>
      </w:r>
      <w:r w:rsidR="00290677">
        <w:t xml:space="preserve"> az objektív jogvédelmi cél biztosítását is szolgálják, akárcsak a kereseti kérelemhez kötöttség bizonyos fokú oldása</w:t>
      </w:r>
      <w:r w:rsidRPr="00232CCE">
        <w:t>.</w:t>
      </w:r>
    </w:p>
  </w:footnote>
  <w:footnote w:id="47">
    <w:p w14:paraId="3C4B70F3" w14:textId="34F7F983" w:rsidR="0011003E" w:rsidRDefault="0011003E" w:rsidP="0029067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Richard </w:t>
      </w:r>
      <w:r w:rsidRPr="00FA7627">
        <w:rPr>
          <w:smallCaps/>
        </w:rPr>
        <w:t>Thoma</w:t>
      </w:r>
      <w:r w:rsidR="00D31158">
        <w:t>, „</w:t>
      </w:r>
      <w:r w:rsidRPr="001C086D">
        <w:rPr>
          <w:i/>
          <w:iCs/>
        </w:rPr>
        <w:t>Recht — Staat — Wirtschaft</w:t>
      </w:r>
      <w:r w:rsidR="00A13294">
        <w:rPr>
          <w:i/>
          <w:iCs/>
        </w:rPr>
        <w:t>”</w:t>
      </w:r>
      <w:r w:rsidRPr="001C086D">
        <w:rPr>
          <w:i/>
          <w:iCs/>
        </w:rPr>
        <w:t xml:space="preserve"> </w:t>
      </w:r>
      <w:r w:rsidR="00CD636F" w:rsidRPr="00CD636F">
        <w:t>3</w:t>
      </w:r>
      <w:r w:rsidRPr="001C086D">
        <w:t>. k</w:t>
      </w:r>
      <w:r>
        <w:t>öt</w:t>
      </w:r>
      <w:r w:rsidRPr="001C086D">
        <w:t>et</w:t>
      </w:r>
      <w:r>
        <w:rPr>
          <w:i/>
          <w:iCs/>
        </w:rPr>
        <w:t xml:space="preserve">, </w:t>
      </w:r>
      <w:r>
        <w:t>Düsseldorf: Schwann, 1951, 9.</w:t>
      </w:r>
    </w:p>
  </w:footnote>
  <w:footnote w:id="48">
    <w:p w14:paraId="4ED9FFAF" w14:textId="6AD2C39C" w:rsidR="0011003E" w:rsidRDefault="0011003E" w:rsidP="0029067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372473">
        <w:t>Verwaltungsgerichtsordnung (</w:t>
      </w:r>
      <w:r>
        <w:t>VwGO</w:t>
      </w:r>
      <w:r w:rsidR="00372473">
        <w:t xml:space="preserve">, </w:t>
      </w:r>
      <w:r>
        <w:t>német szövetségi közigazgatási bírósági törvény) § 40.</w:t>
      </w:r>
    </w:p>
  </w:footnote>
  <w:footnote w:id="49">
    <w:p w14:paraId="58FB5CBF" w14:textId="2BCA6CFD" w:rsidR="00E21BBC" w:rsidRDefault="00E21B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03EF3">
        <w:t xml:space="preserve">Josep Ramón </w:t>
      </w:r>
      <w:r w:rsidR="00703EF3" w:rsidRPr="008E7F82">
        <w:rPr>
          <w:smallCaps/>
        </w:rPr>
        <w:t>Fuentes i Gasó</w:t>
      </w:r>
      <w:r w:rsidR="00703EF3">
        <w:t xml:space="preserve">: „Legitimation und Gegenstand des Verwaltungsstreitverfahrens im Gesetz von 1998” In: </w:t>
      </w:r>
      <w:r>
        <w:t xml:space="preserve">Karl-Peter </w:t>
      </w:r>
      <w:r w:rsidRPr="00E21BBC">
        <w:rPr>
          <w:smallCaps/>
        </w:rPr>
        <w:t>Sommermann</w:t>
      </w:r>
      <w:r w:rsidR="00703EF3">
        <w:rPr>
          <w:smallCaps/>
        </w:rPr>
        <w:t xml:space="preserve"> </w:t>
      </w:r>
      <w:r w:rsidR="00703EF3" w:rsidRPr="00703EF3">
        <w:t>(szerk.)</w:t>
      </w:r>
      <w:r>
        <w:t xml:space="preserve">: </w:t>
      </w:r>
      <w:r w:rsidR="00791619" w:rsidRPr="003E0081">
        <w:rPr>
          <w:i/>
          <w:iCs/>
        </w:rPr>
        <w:t xml:space="preserve">Die </w:t>
      </w:r>
      <w:r w:rsidRPr="003E0081">
        <w:rPr>
          <w:i/>
          <w:iCs/>
        </w:rPr>
        <w:t>Reform der Verwaltungsgerichtsbarkeit in Spanien</w:t>
      </w:r>
      <w:r w:rsidRPr="003E0081">
        <w:t>. Speyer, 200</w:t>
      </w:r>
      <w:r w:rsidR="00791619" w:rsidRPr="003E0081">
        <w:t>5</w:t>
      </w:r>
      <w:r w:rsidR="00703EF3" w:rsidRPr="003E0081">
        <w:t>, 11</w:t>
      </w:r>
      <w:r w:rsidR="003E0081" w:rsidRPr="003E0081">
        <w:t>8</w:t>
      </w:r>
      <w:r w:rsidR="00703EF3" w:rsidRPr="003E0081">
        <w:t>-13</w:t>
      </w:r>
      <w:r w:rsidR="003E0081" w:rsidRPr="003E0081">
        <w:t>3 (104-136)</w:t>
      </w:r>
      <w:r w:rsidRPr="003E0081">
        <w:t>.</w:t>
      </w:r>
      <w:r w:rsidR="00703EF3">
        <w:t xml:space="preserve"> </w:t>
      </w:r>
      <w:hyperlink r:id="rId7" w:history="1">
        <w:r w:rsidR="00742510" w:rsidRPr="00892205">
          <w:rPr>
            <w:rStyle w:val="Hiperhivatkozs"/>
            <w:rFonts w:cstheme="minorHAnsi"/>
          </w:rPr>
          <w:t>https://dopus.uni-speyer.de/frontdoor/deliver/index/docId/479/file/FB-240.pdf</w:t>
        </w:r>
      </w:hyperlink>
      <w:r w:rsidR="00742510">
        <w:t xml:space="preserve"> </w:t>
      </w:r>
    </w:p>
  </w:footnote>
  <w:footnote w:id="50">
    <w:p w14:paraId="78EF8610" w14:textId="1D839122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2019 végén</w:t>
      </w:r>
      <w:r w:rsidR="00E21BBC">
        <w:t>, a már eml</w:t>
      </w:r>
      <w:r w:rsidR="00C569C7">
        <w:t>í</w:t>
      </w:r>
      <w:r w:rsidR="00E21BBC">
        <w:t>tett 2019. évi CXXVII. törvénnyel (Ejhet.)</w:t>
      </w:r>
      <w:r>
        <w:t xml:space="preserve"> jelentős módosításokat fogadott el az </w:t>
      </w:r>
      <w:r w:rsidR="00C569C7">
        <w:t>O</w:t>
      </w:r>
      <w:r>
        <w:t>rszággyűlés, amelyek arra törekedtek, hogy a taxáció irányába vigyék vissza ezt a rendelkezést.</w:t>
      </w:r>
      <w:r w:rsidR="00C0779F">
        <w:t xml:space="preserve"> Ld. miniszteri indokolás.</w:t>
      </w:r>
    </w:p>
  </w:footnote>
  <w:footnote w:id="51">
    <w:p w14:paraId="4A81C946" w14:textId="3C317E13" w:rsidR="0011003E" w:rsidRDefault="0011003E" w:rsidP="00854A1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1BBC">
        <w:t xml:space="preserve">A </w:t>
      </w:r>
      <w:r>
        <w:t>Kp. 4. § (1) bekezdés 2020. január 1-ig hatályos szövege</w:t>
      </w:r>
      <w:r w:rsidR="00E21BBC">
        <w:t>.</w:t>
      </w:r>
      <w:r w:rsidR="00C7360F">
        <w:t xml:space="preserve"> Ld. </w:t>
      </w:r>
      <w:r w:rsidR="00C7360F" w:rsidRPr="008E7F82">
        <w:rPr>
          <w:smallCaps/>
        </w:rPr>
        <w:t>Barabás</w:t>
      </w:r>
      <w:r w:rsidR="00C7360F">
        <w:t xml:space="preserve"> Gergely</w:t>
      </w:r>
      <w:r w:rsidR="004866CC">
        <w:t>, „Kp. 4. §”</w:t>
      </w:r>
      <w:r w:rsidR="004866CC" w:rsidRPr="004866CC">
        <w:t xml:space="preserve"> </w:t>
      </w:r>
      <w:r w:rsidR="004866CC">
        <w:t xml:space="preserve">In: </w:t>
      </w:r>
      <w:r w:rsidR="004866CC" w:rsidRPr="00B758EF">
        <w:rPr>
          <w:smallCaps/>
        </w:rPr>
        <w:t xml:space="preserve">Barabás </w:t>
      </w:r>
      <w:r w:rsidR="004866CC">
        <w:t xml:space="preserve">Gergely – F. </w:t>
      </w:r>
      <w:r w:rsidR="004866CC" w:rsidRPr="00B758EF">
        <w:rPr>
          <w:smallCaps/>
        </w:rPr>
        <w:t xml:space="preserve">Rozsnyai </w:t>
      </w:r>
      <w:r w:rsidR="004866CC">
        <w:t xml:space="preserve">Krisztina – Kovács András (szerk.), </w:t>
      </w:r>
      <w:r w:rsidR="004866CC" w:rsidRPr="004866CC">
        <w:rPr>
          <w:i/>
          <w:iCs/>
        </w:rPr>
        <w:t>Kommentár a közigazgatási perrendtartáshoz</w:t>
      </w:r>
      <w:r w:rsidR="004866CC">
        <w:t>, Budapest: Wolters Kluwer 2018.</w:t>
      </w:r>
      <w:r w:rsidR="007B1662">
        <w:t xml:space="preserve"> </w:t>
      </w:r>
      <w:hyperlink r:id="rId8" w:history="1">
        <w:r w:rsidR="007B1662" w:rsidRPr="00892205">
          <w:rPr>
            <w:rStyle w:val="Hiperhivatkozs"/>
            <w:rFonts w:cstheme="minorHAnsi"/>
          </w:rPr>
          <w:t>www.uj.jogtar.hu</w:t>
        </w:r>
      </w:hyperlink>
    </w:p>
  </w:footnote>
  <w:footnote w:id="52">
    <w:p w14:paraId="27E119B0" w14:textId="13F6F984" w:rsidR="00C7360F" w:rsidRDefault="00C7360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7360F">
        <w:t>Kp. 4. § (7) bekezdés 1. pont</w:t>
      </w:r>
      <w:r>
        <w:t>. Ld. F</w:t>
      </w:r>
      <w:r w:rsidRPr="00C7360F">
        <w:rPr>
          <w:smallCaps/>
        </w:rPr>
        <w:t xml:space="preserve">azekas </w:t>
      </w:r>
      <w:r>
        <w:t xml:space="preserve">Marianna </w:t>
      </w:r>
      <w:r w:rsidR="004866CC">
        <w:t xml:space="preserve">„Kp. 4. § (7) bekezdés 1. pont” In: </w:t>
      </w:r>
      <w:r w:rsidR="004866CC" w:rsidRPr="00B758EF">
        <w:rPr>
          <w:smallCaps/>
        </w:rPr>
        <w:t xml:space="preserve">Barabás </w:t>
      </w:r>
      <w:r w:rsidR="004866CC">
        <w:t xml:space="preserve">Gergely – F. </w:t>
      </w:r>
      <w:r w:rsidR="004866CC" w:rsidRPr="00B758EF">
        <w:rPr>
          <w:smallCaps/>
        </w:rPr>
        <w:t xml:space="preserve">Rozsnyai </w:t>
      </w:r>
      <w:r w:rsidR="004866CC">
        <w:t xml:space="preserve">Krisztina – Kovács András (szerk.), </w:t>
      </w:r>
      <w:r w:rsidR="004866CC" w:rsidRPr="004866CC">
        <w:rPr>
          <w:i/>
          <w:iCs/>
        </w:rPr>
        <w:t>Kommentár a közigazgatási perrendtartáshoz</w:t>
      </w:r>
      <w:r w:rsidR="004866CC">
        <w:t>, Budapest: Wolters Kluwer 2018.</w:t>
      </w:r>
      <w:r w:rsidR="007B1662">
        <w:t xml:space="preserve"> </w:t>
      </w:r>
      <w:hyperlink r:id="rId9" w:history="1">
        <w:r w:rsidR="007B1662" w:rsidRPr="00892205">
          <w:rPr>
            <w:rStyle w:val="Hiperhivatkozs"/>
            <w:rFonts w:cstheme="minorHAnsi"/>
          </w:rPr>
          <w:t>www.uj.jogtar.hu</w:t>
        </w:r>
      </w:hyperlink>
    </w:p>
  </w:footnote>
  <w:footnote w:id="53">
    <w:p w14:paraId="5458A05D" w14:textId="211DE0FA" w:rsidR="00C569C7" w:rsidRDefault="00C569C7">
      <w:pPr>
        <w:pStyle w:val="Lbjegyzetszveg"/>
      </w:pPr>
      <w:r>
        <w:rPr>
          <w:rStyle w:val="Lbjegyzet-hivatkozs"/>
        </w:rPr>
        <w:footnoteRef/>
      </w:r>
      <w:r>
        <w:t xml:space="preserve"> Így – például – az akkor hatályon kívül helyezett elemet, a hatósági intézkedést is magában foglalja.</w:t>
      </w:r>
    </w:p>
  </w:footnote>
  <w:footnote w:id="54">
    <w:p w14:paraId="499E8776" w14:textId="02EF2405" w:rsidR="009170DE" w:rsidRDefault="009170DE" w:rsidP="00D80F1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D80F10">
        <w:t>N</w:t>
      </w:r>
      <w:r w:rsidR="00D80F10" w:rsidRPr="00D80F10">
        <w:rPr>
          <w:smallCaps/>
        </w:rPr>
        <w:t>agy</w:t>
      </w:r>
      <w:r w:rsidR="00D80F10">
        <w:t xml:space="preserve"> Marianna, „Szerződés a közigazgatási jogban” </w:t>
      </w:r>
      <w:r w:rsidR="00D80F10" w:rsidRPr="00D80F10">
        <w:rPr>
          <w:i/>
          <w:iCs/>
        </w:rPr>
        <w:t>Jogtudományi Közlöny</w:t>
      </w:r>
      <w:r w:rsidR="00D80F10">
        <w:t xml:space="preserve"> 77. évf. 2022/4: 137-146.</w:t>
      </w:r>
      <w:r w:rsidR="00C569C7">
        <w:t xml:space="preserve"> A szerződéses jogviták esetében ugyanis a marasztalási perek mellett magát a szerződést támadó megtámadási pert is lehet indítani. </w:t>
      </w:r>
    </w:p>
  </w:footnote>
  <w:footnote w:id="55">
    <w:p w14:paraId="2D045B8E" w14:textId="4338C6FA" w:rsidR="00D80F10" w:rsidRDefault="00D80F10" w:rsidP="00D80F1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80F10">
        <w:rPr>
          <w:smallCaps/>
        </w:rPr>
        <w:t>Kárász</w:t>
      </w:r>
      <w:r>
        <w:t xml:space="preserve"> Marcell, „Hogyan (nem) érhető el a hatékony jogvédelem? A normatív közigazgatási aktusok feletti bírói kontroll” </w:t>
      </w:r>
      <w:r w:rsidRPr="00D80F10">
        <w:rPr>
          <w:i/>
          <w:iCs/>
        </w:rPr>
        <w:t>Jogtudományi Közlöny</w:t>
      </w:r>
      <w:r>
        <w:t xml:space="preserve"> 77. évf. 2022/1: 1-10.</w:t>
      </w:r>
    </w:p>
  </w:footnote>
  <w:footnote w:id="56">
    <w:p w14:paraId="3FEBDBEF" w14:textId="13DA64C7" w:rsidR="00145E1A" w:rsidRDefault="00145E1A" w:rsidP="00145E1A">
      <w:pPr>
        <w:pStyle w:val="Lbjegyzetszveg"/>
      </w:pPr>
      <w:r>
        <w:rPr>
          <w:rStyle w:val="Lbjegyzet-hivatkozs"/>
        </w:rPr>
        <w:footnoteRef/>
      </w:r>
      <w:r>
        <w:t xml:space="preserve"> A kormányzati aktusokra nézve ld. </w:t>
      </w:r>
      <w:r w:rsidRPr="00D80F10">
        <w:rPr>
          <w:smallCaps/>
        </w:rPr>
        <w:t>Fazekas</w:t>
      </w:r>
      <w:r>
        <w:t xml:space="preserve"> János, „</w:t>
      </w:r>
      <w:r w:rsidR="00283FAC" w:rsidRPr="00283FAC">
        <w:t>A kormányzati tevékenység fogalmának jogtudományi problémái</w:t>
      </w:r>
      <w:r>
        <w:t>”</w:t>
      </w:r>
      <w:r w:rsidR="00283FAC">
        <w:t xml:space="preserve"> In: </w:t>
      </w:r>
      <w:r w:rsidR="00283FAC" w:rsidRPr="00DC1A71">
        <w:rPr>
          <w:smallCaps/>
        </w:rPr>
        <w:t>Peres</w:t>
      </w:r>
      <w:r w:rsidR="00283FAC">
        <w:t xml:space="preserve">, Zsuzsanna; </w:t>
      </w:r>
      <w:r w:rsidR="00283FAC" w:rsidRPr="00DC1A71">
        <w:rPr>
          <w:smallCaps/>
        </w:rPr>
        <w:t>Pál,</w:t>
      </w:r>
      <w:r w:rsidR="00283FAC">
        <w:t xml:space="preserve"> Gábor (szerk.), „</w:t>
      </w:r>
      <w:r w:rsidR="00283FAC" w:rsidRPr="00DC1A71">
        <w:rPr>
          <w:i/>
          <w:iCs/>
        </w:rPr>
        <w:t>Semper ad perfectum. Ünnepi tanulmányok a 80 éves Tamás András tiszteletére</w:t>
      </w:r>
      <w:r w:rsidR="00283FAC">
        <w:t xml:space="preserve">” Budapest: Ludovika, </w:t>
      </w:r>
      <w:r w:rsidR="00283FAC" w:rsidRPr="00A50CDB">
        <w:t>2021,</w:t>
      </w:r>
      <w:r w:rsidR="00283FAC">
        <w:t xml:space="preserve"> 207-217. </w:t>
      </w:r>
      <w:hyperlink r:id="rId10" w:history="1">
        <w:r w:rsidR="00283FAC" w:rsidRPr="00892205">
          <w:rPr>
            <w:rStyle w:val="Hiperhivatkozs"/>
            <w:rFonts w:cstheme="minorHAnsi"/>
          </w:rPr>
          <w:t>https://nkerepo.uni-nke.hu/xmlui/bitstream/handle/123456789/16582/web_PDF_TA80_v2-iiniat.pdf;jsessionid=93ABB15672168620B41C2792FA6E8945?sequence=1</w:t>
        </w:r>
      </w:hyperlink>
      <w:r w:rsidR="00283FAC">
        <w:t xml:space="preserve"> </w:t>
      </w:r>
    </w:p>
  </w:footnote>
  <w:footnote w:id="57">
    <w:p w14:paraId="56614294" w14:textId="24516564" w:rsidR="00145E1A" w:rsidRDefault="00145E1A" w:rsidP="00145E1A">
      <w:pPr>
        <w:pStyle w:val="Lbjegyzetszveg"/>
      </w:pPr>
      <w:r>
        <w:rPr>
          <w:rStyle w:val="Lbjegyzet-hivatkozs"/>
        </w:rPr>
        <w:footnoteRef/>
      </w:r>
      <w:r>
        <w:t xml:space="preserve"> Kp. 5. § (4)-(5)</w:t>
      </w:r>
      <w:r w:rsidR="000F6293">
        <w:t xml:space="preserve"> bekezdés</w:t>
      </w:r>
      <w:r>
        <w:t>. A közszolgálati jogviták az 1952. évi Pp. szerinti a közigazgatási és munkaügyi bíróságok hatáskörébe tartoztak, de munkajogi jogvitaként. Az Kp. azonban a közszolgálati jogviszon</w:t>
      </w:r>
      <w:r w:rsidR="00C37938">
        <w:t>n</w:t>
      </w:r>
      <w:r>
        <w:t>y</w:t>
      </w:r>
      <w:r w:rsidR="00C37938">
        <w:t>al kapcsola</w:t>
      </w:r>
      <w:r>
        <w:t>t</w:t>
      </w:r>
      <w:r w:rsidR="00C37938">
        <w:t>os</w:t>
      </w:r>
      <w:r>
        <w:t xml:space="preserve"> </w:t>
      </w:r>
      <w:r w:rsidR="00C37938">
        <w:t xml:space="preserve">jogvitát </w:t>
      </w:r>
      <w:r>
        <w:t xml:space="preserve">közigazgatási </w:t>
      </w:r>
      <w:r w:rsidR="00C37938">
        <w:t>bírói útra tereli, közigazgatási perben rendeli elbírálni</w:t>
      </w:r>
      <w:r>
        <w:t>.</w:t>
      </w:r>
      <w:r w:rsidR="00C37938">
        <w:t xml:space="preserve"> A közszolgálati jogviták megítélése egyébként Európa-szerte ingadozó, számos országban közigazgatási bírói útra tartoznak, de vannak olyan országok, ahol munkaügyi vitának tekintik azokat.</w:t>
      </w:r>
    </w:p>
  </w:footnote>
  <w:footnote w:id="58">
    <w:p w14:paraId="532838FD" w14:textId="0597AD4B" w:rsidR="00372473" w:rsidRDefault="0037247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F6293">
        <w:t>Kp. 38. § (1) bekezdés.</w:t>
      </w:r>
    </w:p>
  </w:footnote>
  <w:footnote w:id="59">
    <w:p w14:paraId="4686FEC5" w14:textId="701005C9" w:rsidR="00194CAA" w:rsidRDefault="00194CAA">
      <w:pPr>
        <w:pStyle w:val="Lbjegyzetszveg"/>
      </w:pPr>
      <w:r>
        <w:rPr>
          <w:rStyle w:val="Lbjegyzet-hivatkozs"/>
        </w:rPr>
        <w:footnoteRef/>
      </w:r>
      <w:r>
        <w:t xml:space="preserve"> Kivételt képez ez alól az az eset, amikor csak olyan eljárási hib</w:t>
      </w:r>
      <w:r w:rsidR="00C37938">
        <w:t>a történt</w:t>
      </w:r>
      <w:r>
        <w:t>, amely nem volt hatással az ügy érdemére, illetve</w:t>
      </w:r>
      <w:r w:rsidR="00587759">
        <w:t>,</w:t>
      </w:r>
      <w:r>
        <w:t xml:space="preserve"> ha nincsen kereshetőségi joga a felperesnek</w:t>
      </w:r>
      <w:r w:rsidR="00587759">
        <w:t xml:space="preserve"> [Kp. 8</w:t>
      </w:r>
      <w:r w:rsidR="00C37938">
        <w:t>8</w:t>
      </w:r>
      <w:r w:rsidR="00587759">
        <w:t xml:space="preserve">. § </w:t>
      </w:r>
      <w:r w:rsidR="00C37938">
        <w:t xml:space="preserve">(1) bekezdés </w:t>
      </w:r>
      <w:r w:rsidR="00C37938" w:rsidRPr="00C37938">
        <w:rPr>
          <w:i/>
          <w:iCs/>
        </w:rPr>
        <w:t>b)-c)</w:t>
      </w:r>
      <w:r w:rsidR="00C37938">
        <w:t xml:space="preserve"> pont</w:t>
      </w:r>
      <w:r w:rsidR="00587759">
        <w:t>]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6B81" w14:textId="77777777" w:rsidR="0011003E" w:rsidRDefault="001100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A44"/>
    <w:multiLevelType w:val="hybridMultilevel"/>
    <w:tmpl w:val="E696BEC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047BF"/>
    <w:multiLevelType w:val="multilevel"/>
    <w:tmpl w:val="68261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296B2AFF"/>
    <w:multiLevelType w:val="hybridMultilevel"/>
    <w:tmpl w:val="537AC0AA"/>
    <w:lvl w:ilvl="0" w:tplc="4E962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722E77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22F9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A64A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CB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02B3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2227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3226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E69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FC4BB8"/>
    <w:multiLevelType w:val="hybridMultilevel"/>
    <w:tmpl w:val="83E437CA"/>
    <w:lvl w:ilvl="0" w:tplc="CC52EF68">
      <w:start w:val="1"/>
      <w:numFmt w:val="decimal"/>
      <w:lvlText w:val="[%1]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01890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561F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D059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4228D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4E0F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F88D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821A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54C3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D70"/>
    <w:multiLevelType w:val="hybridMultilevel"/>
    <w:tmpl w:val="EE0CD8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41B8"/>
    <w:multiLevelType w:val="hybridMultilevel"/>
    <w:tmpl w:val="F4B6A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B42C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50E354C6"/>
    <w:multiLevelType w:val="hybridMultilevel"/>
    <w:tmpl w:val="0270D5E2"/>
    <w:lvl w:ilvl="0" w:tplc="2AB0FC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AAC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C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04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E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2B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22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2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C1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564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1619AE"/>
    <w:multiLevelType w:val="hybridMultilevel"/>
    <w:tmpl w:val="8FE0229C"/>
    <w:lvl w:ilvl="0" w:tplc="38EAD8FE">
      <w:start w:val="1"/>
      <w:numFmt w:val="decimal"/>
      <w:pStyle w:val="belscm2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214097"/>
    <w:multiLevelType w:val="hybridMultilevel"/>
    <w:tmpl w:val="F7CCF930"/>
    <w:lvl w:ilvl="0" w:tplc="4DF0865E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5BD67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21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7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AB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C6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44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25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97068"/>
    <w:multiLevelType w:val="hybridMultilevel"/>
    <w:tmpl w:val="AA3E94CA"/>
    <w:lvl w:ilvl="0" w:tplc="97C877EA">
      <w:start w:val="1"/>
      <w:numFmt w:val="decimal"/>
      <w:pStyle w:val="szmozottszveg"/>
      <w:lvlText w:val="[%1]"/>
      <w:lvlJc w:val="left"/>
      <w:pPr>
        <w:ind w:left="720" w:hanging="360"/>
      </w:pPr>
      <w:rPr>
        <w:rFonts w:cs="Times New Roman" w:hint="default"/>
      </w:rPr>
    </w:lvl>
    <w:lvl w:ilvl="1" w:tplc="AAD43C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8A1A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129E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D651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12A1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86BE1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6ECB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BE99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  <w:num w:numId="21">
    <w:abstractNumId w:val="9"/>
  </w:num>
  <w:num w:numId="22">
    <w:abstractNumId w:val="8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13"/>
    <w:rsid w:val="00000DC9"/>
    <w:rsid w:val="0000615D"/>
    <w:rsid w:val="00013D43"/>
    <w:rsid w:val="00014C9F"/>
    <w:rsid w:val="00016D45"/>
    <w:rsid w:val="00017F27"/>
    <w:rsid w:val="000305DA"/>
    <w:rsid w:val="00031021"/>
    <w:rsid w:val="000324C2"/>
    <w:rsid w:val="00034508"/>
    <w:rsid w:val="000356AF"/>
    <w:rsid w:val="00040725"/>
    <w:rsid w:val="00041133"/>
    <w:rsid w:val="00041E34"/>
    <w:rsid w:val="00042D4B"/>
    <w:rsid w:val="0004330A"/>
    <w:rsid w:val="00043406"/>
    <w:rsid w:val="00044EF9"/>
    <w:rsid w:val="00044F3A"/>
    <w:rsid w:val="000459C7"/>
    <w:rsid w:val="00046E65"/>
    <w:rsid w:val="00050148"/>
    <w:rsid w:val="00050AAA"/>
    <w:rsid w:val="00050B26"/>
    <w:rsid w:val="00050E0D"/>
    <w:rsid w:val="00051B4D"/>
    <w:rsid w:val="00052162"/>
    <w:rsid w:val="00053086"/>
    <w:rsid w:val="00053687"/>
    <w:rsid w:val="00054DE9"/>
    <w:rsid w:val="00056D96"/>
    <w:rsid w:val="0005768E"/>
    <w:rsid w:val="00061100"/>
    <w:rsid w:val="0006620E"/>
    <w:rsid w:val="000728AA"/>
    <w:rsid w:val="00072C79"/>
    <w:rsid w:val="000767E3"/>
    <w:rsid w:val="00076B32"/>
    <w:rsid w:val="00077329"/>
    <w:rsid w:val="00077F4C"/>
    <w:rsid w:val="0008240E"/>
    <w:rsid w:val="00082AD5"/>
    <w:rsid w:val="00087FD5"/>
    <w:rsid w:val="000900B2"/>
    <w:rsid w:val="000912D3"/>
    <w:rsid w:val="00091596"/>
    <w:rsid w:val="00093B50"/>
    <w:rsid w:val="00093EFD"/>
    <w:rsid w:val="00096080"/>
    <w:rsid w:val="000A0933"/>
    <w:rsid w:val="000A0CE0"/>
    <w:rsid w:val="000A4CFF"/>
    <w:rsid w:val="000A4DD8"/>
    <w:rsid w:val="000A6E0C"/>
    <w:rsid w:val="000A7628"/>
    <w:rsid w:val="000B132A"/>
    <w:rsid w:val="000B22CB"/>
    <w:rsid w:val="000B2DF4"/>
    <w:rsid w:val="000B320A"/>
    <w:rsid w:val="000B3303"/>
    <w:rsid w:val="000B7971"/>
    <w:rsid w:val="000C1C1C"/>
    <w:rsid w:val="000C2B9A"/>
    <w:rsid w:val="000C3DD5"/>
    <w:rsid w:val="000D0AD8"/>
    <w:rsid w:val="000D12EA"/>
    <w:rsid w:val="000D315B"/>
    <w:rsid w:val="000D44B6"/>
    <w:rsid w:val="000D4F8F"/>
    <w:rsid w:val="000D7B31"/>
    <w:rsid w:val="000E0182"/>
    <w:rsid w:val="000E19E1"/>
    <w:rsid w:val="000E2210"/>
    <w:rsid w:val="000E2EE3"/>
    <w:rsid w:val="000E3D01"/>
    <w:rsid w:val="000E744D"/>
    <w:rsid w:val="000F12C0"/>
    <w:rsid w:val="000F1CF8"/>
    <w:rsid w:val="000F3241"/>
    <w:rsid w:val="000F4883"/>
    <w:rsid w:val="000F4CCE"/>
    <w:rsid w:val="000F5A96"/>
    <w:rsid w:val="000F6293"/>
    <w:rsid w:val="000F755F"/>
    <w:rsid w:val="00100860"/>
    <w:rsid w:val="00101584"/>
    <w:rsid w:val="00104796"/>
    <w:rsid w:val="0010661B"/>
    <w:rsid w:val="00106FA0"/>
    <w:rsid w:val="00106FD5"/>
    <w:rsid w:val="0011003E"/>
    <w:rsid w:val="001121DF"/>
    <w:rsid w:val="00112496"/>
    <w:rsid w:val="0011591D"/>
    <w:rsid w:val="001175A2"/>
    <w:rsid w:val="0012188D"/>
    <w:rsid w:val="00122505"/>
    <w:rsid w:val="00122A51"/>
    <w:rsid w:val="00122AD7"/>
    <w:rsid w:val="001262C7"/>
    <w:rsid w:val="00127145"/>
    <w:rsid w:val="0012781A"/>
    <w:rsid w:val="00127827"/>
    <w:rsid w:val="001279ED"/>
    <w:rsid w:val="001305D8"/>
    <w:rsid w:val="00130A0D"/>
    <w:rsid w:val="00131842"/>
    <w:rsid w:val="0013381B"/>
    <w:rsid w:val="00133A8E"/>
    <w:rsid w:val="00141151"/>
    <w:rsid w:val="00142007"/>
    <w:rsid w:val="001459E7"/>
    <w:rsid w:val="00145E1A"/>
    <w:rsid w:val="00146884"/>
    <w:rsid w:val="00146907"/>
    <w:rsid w:val="00146FE7"/>
    <w:rsid w:val="0014799F"/>
    <w:rsid w:val="00152A41"/>
    <w:rsid w:val="00153461"/>
    <w:rsid w:val="00157099"/>
    <w:rsid w:val="001602FC"/>
    <w:rsid w:val="001639FB"/>
    <w:rsid w:val="00165F91"/>
    <w:rsid w:val="001701DD"/>
    <w:rsid w:val="001704EB"/>
    <w:rsid w:val="00172A4A"/>
    <w:rsid w:val="00172C31"/>
    <w:rsid w:val="001730E4"/>
    <w:rsid w:val="00175742"/>
    <w:rsid w:val="001757FD"/>
    <w:rsid w:val="0017738A"/>
    <w:rsid w:val="001803AD"/>
    <w:rsid w:val="00181E26"/>
    <w:rsid w:val="00182230"/>
    <w:rsid w:val="001828F6"/>
    <w:rsid w:val="001873E9"/>
    <w:rsid w:val="001906B5"/>
    <w:rsid w:val="001923F9"/>
    <w:rsid w:val="0019280D"/>
    <w:rsid w:val="00192A3E"/>
    <w:rsid w:val="00192C6B"/>
    <w:rsid w:val="001936BF"/>
    <w:rsid w:val="0019488F"/>
    <w:rsid w:val="00194CAA"/>
    <w:rsid w:val="001961E0"/>
    <w:rsid w:val="00196569"/>
    <w:rsid w:val="001A1416"/>
    <w:rsid w:val="001A25EE"/>
    <w:rsid w:val="001A27A7"/>
    <w:rsid w:val="001A287A"/>
    <w:rsid w:val="001A369D"/>
    <w:rsid w:val="001A5442"/>
    <w:rsid w:val="001A6170"/>
    <w:rsid w:val="001A6787"/>
    <w:rsid w:val="001A6A6B"/>
    <w:rsid w:val="001A7F59"/>
    <w:rsid w:val="001B287D"/>
    <w:rsid w:val="001B30CD"/>
    <w:rsid w:val="001B7803"/>
    <w:rsid w:val="001C086D"/>
    <w:rsid w:val="001C224C"/>
    <w:rsid w:val="001C424F"/>
    <w:rsid w:val="001C516F"/>
    <w:rsid w:val="001C56CF"/>
    <w:rsid w:val="001D2F0A"/>
    <w:rsid w:val="001D30BA"/>
    <w:rsid w:val="001D56B5"/>
    <w:rsid w:val="001E0445"/>
    <w:rsid w:val="001E2989"/>
    <w:rsid w:val="001E58BD"/>
    <w:rsid w:val="001F0FA7"/>
    <w:rsid w:val="001F232F"/>
    <w:rsid w:val="001F3A3D"/>
    <w:rsid w:val="001F3E84"/>
    <w:rsid w:val="001F70C2"/>
    <w:rsid w:val="002009B6"/>
    <w:rsid w:val="00202D8C"/>
    <w:rsid w:val="00203C49"/>
    <w:rsid w:val="002079D4"/>
    <w:rsid w:val="0021288F"/>
    <w:rsid w:val="00212F27"/>
    <w:rsid w:val="0021340B"/>
    <w:rsid w:val="00214B57"/>
    <w:rsid w:val="002177F1"/>
    <w:rsid w:val="002178D1"/>
    <w:rsid w:val="00217A9B"/>
    <w:rsid w:val="00220DA0"/>
    <w:rsid w:val="002250B8"/>
    <w:rsid w:val="00225FB2"/>
    <w:rsid w:val="002268B7"/>
    <w:rsid w:val="0023204F"/>
    <w:rsid w:val="002322CA"/>
    <w:rsid w:val="00232CCE"/>
    <w:rsid w:val="00234681"/>
    <w:rsid w:val="00240130"/>
    <w:rsid w:val="00240E96"/>
    <w:rsid w:val="002418D2"/>
    <w:rsid w:val="002419C5"/>
    <w:rsid w:val="00243C6C"/>
    <w:rsid w:val="00244A87"/>
    <w:rsid w:val="00245854"/>
    <w:rsid w:val="00246375"/>
    <w:rsid w:val="002470B0"/>
    <w:rsid w:val="00247D6E"/>
    <w:rsid w:val="00250A39"/>
    <w:rsid w:val="00253503"/>
    <w:rsid w:val="00254FD2"/>
    <w:rsid w:val="00255EBC"/>
    <w:rsid w:val="0025682A"/>
    <w:rsid w:val="00256908"/>
    <w:rsid w:val="002575EF"/>
    <w:rsid w:val="00260494"/>
    <w:rsid w:val="002633BE"/>
    <w:rsid w:val="002634FD"/>
    <w:rsid w:val="00263AD9"/>
    <w:rsid w:val="00265F40"/>
    <w:rsid w:val="00267B75"/>
    <w:rsid w:val="00267EC2"/>
    <w:rsid w:val="00272E72"/>
    <w:rsid w:val="00273E20"/>
    <w:rsid w:val="0027455A"/>
    <w:rsid w:val="00276FAE"/>
    <w:rsid w:val="002776EC"/>
    <w:rsid w:val="00283FAC"/>
    <w:rsid w:val="0028712C"/>
    <w:rsid w:val="002874B4"/>
    <w:rsid w:val="00287CB2"/>
    <w:rsid w:val="00287E76"/>
    <w:rsid w:val="00290677"/>
    <w:rsid w:val="00292C5B"/>
    <w:rsid w:val="0029379D"/>
    <w:rsid w:val="00294184"/>
    <w:rsid w:val="002941B9"/>
    <w:rsid w:val="00296CAD"/>
    <w:rsid w:val="00296F2C"/>
    <w:rsid w:val="002A02AB"/>
    <w:rsid w:val="002A0918"/>
    <w:rsid w:val="002A1428"/>
    <w:rsid w:val="002A1885"/>
    <w:rsid w:val="002A20FD"/>
    <w:rsid w:val="002A3391"/>
    <w:rsid w:val="002A52CE"/>
    <w:rsid w:val="002A68AC"/>
    <w:rsid w:val="002A6C99"/>
    <w:rsid w:val="002A6DF2"/>
    <w:rsid w:val="002B1CAA"/>
    <w:rsid w:val="002B1D44"/>
    <w:rsid w:val="002B286A"/>
    <w:rsid w:val="002B4110"/>
    <w:rsid w:val="002B6A13"/>
    <w:rsid w:val="002C001F"/>
    <w:rsid w:val="002C208E"/>
    <w:rsid w:val="002C23EB"/>
    <w:rsid w:val="002C4B3E"/>
    <w:rsid w:val="002C62DB"/>
    <w:rsid w:val="002C6443"/>
    <w:rsid w:val="002C65F3"/>
    <w:rsid w:val="002C66EE"/>
    <w:rsid w:val="002C6B91"/>
    <w:rsid w:val="002D2BC8"/>
    <w:rsid w:val="002D5EB2"/>
    <w:rsid w:val="002D6824"/>
    <w:rsid w:val="002D6DBA"/>
    <w:rsid w:val="002E00A7"/>
    <w:rsid w:val="002E047D"/>
    <w:rsid w:val="002E1766"/>
    <w:rsid w:val="002E1A65"/>
    <w:rsid w:val="002E2C42"/>
    <w:rsid w:val="002E4D53"/>
    <w:rsid w:val="002E4FCA"/>
    <w:rsid w:val="002F082A"/>
    <w:rsid w:val="002F2867"/>
    <w:rsid w:val="002F3EA9"/>
    <w:rsid w:val="002F4409"/>
    <w:rsid w:val="002F556F"/>
    <w:rsid w:val="00300DB0"/>
    <w:rsid w:val="00301411"/>
    <w:rsid w:val="00302635"/>
    <w:rsid w:val="00302F5B"/>
    <w:rsid w:val="003037FF"/>
    <w:rsid w:val="0030602F"/>
    <w:rsid w:val="00306563"/>
    <w:rsid w:val="00311981"/>
    <w:rsid w:val="00312D81"/>
    <w:rsid w:val="0031402E"/>
    <w:rsid w:val="00314296"/>
    <w:rsid w:val="0032142D"/>
    <w:rsid w:val="00322BBD"/>
    <w:rsid w:val="003233E4"/>
    <w:rsid w:val="00323534"/>
    <w:rsid w:val="00324BA9"/>
    <w:rsid w:val="00324CD5"/>
    <w:rsid w:val="0032600C"/>
    <w:rsid w:val="00326CBB"/>
    <w:rsid w:val="00327E69"/>
    <w:rsid w:val="00331891"/>
    <w:rsid w:val="00331D79"/>
    <w:rsid w:val="00332979"/>
    <w:rsid w:val="00334A7F"/>
    <w:rsid w:val="00336305"/>
    <w:rsid w:val="00344088"/>
    <w:rsid w:val="00350E80"/>
    <w:rsid w:val="00351671"/>
    <w:rsid w:val="00356724"/>
    <w:rsid w:val="00356943"/>
    <w:rsid w:val="00357211"/>
    <w:rsid w:val="0036099D"/>
    <w:rsid w:val="00360D6C"/>
    <w:rsid w:val="00361029"/>
    <w:rsid w:val="00361B63"/>
    <w:rsid w:val="00361D24"/>
    <w:rsid w:val="00363004"/>
    <w:rsid w:val="00363549"/>
    <w:rsid w:val="00367465"/>
    <w:rsid w:val="00372473"/>
    <w:rsid w:val="003725CE"/>
    <w:rsid w:val="003764D0"/>
    <w:rsid w:val="00381935"/>
    <w:rsid w:val="00382CEB"/>
    <w:rsid w:val="00387C4D"/>
    <w:rsid w:val="00390900"/>
    <w:rsid w:val="00391923"/>
    <w:rsid w:val="00394BE1"/>
    <w:rsid w:val="003970F6"/>
    <w:rsid w:val="003977F0"/>
    <w:rsid w:val="00397E1F"/>
    <w:rsid w:val="003A1876"/>
    <w:rsid w:val="003A4EDD"/>
    <w:rsid w:val="003A4FAD"/>
    <w:rsid w:val="003A5FAF"/>
    <w:rsid w:val="003A6A51"/>
    <w:rsid w:val="003B1835"/>
    <w:rsid w:val="003B4F58"/>
    <w:rsid w:val="003B6377"/>
    <w:rsid w:val="003C371A"/>
    <w:rsid w:val="003C3971"/>
    <w:rsid w:val="003C67E8"/>
    <w:rsid w:val="003C692B"/>
    <w:rsid w:val="003D0A6B"/>
    <w:rsid w:val="003D3F61"/>
    <w:rsid w:val="003D41F2"/>
    <w:rsid w:val="003D4AF5"/>
    <w:rsid w:val="003D6699"/>
    <w:rsid w:val="003E0081"/>
    <w:rsid w:val="003E49F5"/>
    <w:rsid w:val="003E4DD4"/>
    <w:rsid w:val="003E576C"/>
    <w:rsid w:val="003F1C0E"/>
    <w:rsid w:val="003F26C7"/>
    <w:rsid w:val="003F4387"/>
    <w:rsid w:val="00401AF0"/>
    <w:rsid w:val="00401CC0"/>
    <w:rsid w:val="00403CD3"/>
    <w:rsid w:val="004067C7"/>
    <w:rsid w:val="004175CC"/>
    <w:rsid w:val="00421A40"/>
    <w:rsid w:val="00421C42"/>
    <w:rsid w:val="00421DFC"/>
    <w:rsid w:val="00424A44"/>
    <w:rsid w:val="00424C81"/>
    <w:rsid w:val="00424E92"/>
    <w:rsid w:val="0042726B"/>
    <w:rsid w:val="004309FD"/>
    <w:rsid w:val="00431128"/>
    <w:rsid w:val="00431D49"/>
    <w:rsid w:val="004355F8"/>
    <w:rsid w:val="00436224"/>
    <w:rsid w:val="004368C0"/>
    <w:rsid w:val="00436FBC"/>
    <w:rsid w:val="004373B9"/>
    <w:rsid w:val="00440C4E"/>
    <w:rsid w:val="00441A43"/>
    <w:rsid w:val="00443B6A"/>
    <w:rsid w:val="0044512D"/>
    <w:rsid w:val="0045285C"/>
    <w:rsid w:val="00452A41"/>
    <w:rsid w:val="00454047"/>
    <w:rsid w:val="00455276"/>
    <w:rsid w:val="0045657E"/>
    <w:rsid w:val="004607B4"/>
    <w:rsid w:val="004618F5"/>
    <w:rsid w:val="004622BF"/>
    <w:rsid w:val="0046256E"/>
    <w:rsid w:val="00463158"/>
    <w:rsid w:val="00466043"/>
    <w:rsid w:val="00467E09"/>
    <w:rsid w:val="004706FC"/>
    <w:rsid w:val="004713D5"/>
    <w:rsid w:val="00473796"/>
    <w:rsid w:val="00474689"/>
    <w:rsid w:val="00476F69"/>
    <w:rsid w:val="0048249A"/>
    <w:rsid w:val="00483543"/>
    <w:rsid w:val="004846F4"/>
    <w:rsid w:val="00485A44"/>
    <w:rsid w:val="004866CC"/>
    <w:rsid w:val="00487EC1"/>
    <w:rsid w:val="0049137D"/>
    <w:rsid w:val="00491D4F"/>
    <w:rsid w:val="004925CB"/>
    <w:rsid w:val="00494898"/>
    <w:rsid w:val="004A14F6"/>
    <w:rsid w:val="004A3F1A"/>
    <w:rsid w:val="004A4E3A"/>
    <w:rsid w:val="004A4F00"/>
    <w:rsid w:val="004A50C5"/>
    <w:rsid w:val="004A5F04"/>
    <w:rsid w:val="004A7928"/>
    <w:rsid w:val="004B4AE0"/>
    <w:rsid w:val="004B77E0"/>
    <w:rsid w:val="004B791C"/>
    <w:rsid w:val="004B7955"/>
    <w:rsid w:val="004C16D3"/>
    <w:rsid w:val="004C2006"/>
    <w:rsid w:val="004C3E2F"/>
    <w:rsid w:val="004C407C"/>
    <w:rsid w:val="004C4C31"/>
    <w:rsid w:val="004C5903"/>
    <w:rsid w:val="004C6DB6"/>
    <w:rsid w:val="004C73DE"/>
    <w:rsid w:val="004C7BA2"/>
    <w:rsid w:val="004D0110"/>
    <w:rsid w:val="004D0989"/>
    <w:rsid w:val="004D2629"/>
    <w:rsid w:val="004D2961"/>
    <w:rsid w:val="004D3270"/>
    <w:rsid w:val="004D50A9"/>
    <w:rsid w:val="004D65CE"/>
    <w:rsid w:val="004E051B"/>
    <w:rsid w:val="004E1585"/>
    <w:rsid w:val="004E17A9"/>
    <w:rsid w:val="004E3856"/>
    <w:rsid w:val="004E526A"/>
    <w:rsid w:val="004E5E7B"/>
    <w:rsid w:val="004E7324"/>
    <w:rsid w:val="004F0F9B"/>
    <w:rsid w:val="004F15B1"/>
    <w:rsid w:val="004F2439"/>
    <w:rsid w:val="004F5935"/>
    <w:rsid w:val="004F5A0A"/>
    <w:rsid w:val="004F66F7"/>
    <w:rsid w:val="00502AB9"/>
    <w:rsid w:val="005035C0"/>
    <w:rsid w:val="00503E2C"/>
    <w:rsid w:val="00504CD0"/>
    <w:rsid w:val="0050562D"/>
    <w:rsid w:val="00506D5B"/>
    <w:rsid w:val="00507613"/>
    <w:rsid w:val="005178D4"/>
    <w:rsid w:val="00517E82"/>
    <w:rsid w:val="00521058"/>
    <w:rsid w:val="00522863"/>
    <w:rsid w:val="00522A5A"/>
    <w:rsid w:val="00526DA8"/>
    <w:rsid w:val="005301DA"/>
    <w:rsid w:val="00530EC8"/>
    <w:rsid w:val="00533859"/>
    <w:rsid w:val="00534853"/>
    <w:rsid w:val="005370CE"/>
    <w:rsid w:val="005378AA"/>
    <w:rsid w:val="00537C8F"/>
    <w:rsid w:val="00540036"/>
    <w:rsid w:val="0054245C"/>
    <w:rsid w:val="005439B6"/>
    <w:rsid w:val="00544F23"/>
    <w:rsid w:val="005463F4"/>
    <w:rsid w:val="00546403"/>
    <w:rsid w:val="00550241"/>
    <w:rsid w:val="00552468"/>
    <w:rsid w:val="00552675"/>
    <w:rsid w:val="0055289A"/>
    <w:rsid w:val="005650D4"/>
    <w:rsid w:val="00565362"/>
    <w:rsid w:val="005715D3"/>
    <w:rsid w:val="0057194A"/>
    <w:rsid w:val="0057236F"/>
    <w:rsid w:val="00573D10"/>
    <w:rsid w:val="00574E31"/>
    <w:rsid w:val="0057591B"/>
    <w:rsid w:val="00575BFD"/>
    <w:rsid w:val="005766E5"/>
    <w:rsid w:val="00577151"/>
    <w:rsid w:val="0058134F"/>
    <w:rsid w:val="005817C3"/>
    <w:rsid w:val="00582191"/>
    <w:rsid w:val="0058239A"/>
    <w:rsid w:val="00583942"/>
    <w:rsid w:val="00587759"/>
    <w:rsid w:val="00590B02"/>
    <w:rsid w:val="00592B91"/>
    <w:rsid w:val="00593D81"/>
    <w:rsid w:val="00594195"/>
    <w:rsid w:val="00596020"/>
    <w:rsid w:val="005968DB"/>
    <w:rsid w:val="005A0755"/>
    <w:rsid w:val="005A1D43"/>
    <w:rsid w:val="005A2852"/>
    <w:rsid w:val="005A2FE6"/>
    <w:rsid w:val="005A3513"/>
    <w:rsid w:val="005A679B"/>
    <w:rsid w:val="005B32BD"/>
    <w:rsid w:val="005B4587"/>
    <w:rsid w:val="005B56E3"/>
    <w:rsid w:val="005C0E8E"/>
    <w:rsid w:val="005C1D3C"/>
    <w:rsid w:val="005D3ADD"/>
    <w:rsid w:val="005D506D"/>
    <w:rsid w:val="005D5C58"/>
    <w:rsid w:val="005D6F87"/>
    <w:rsid w:val="005E0358"/>
    <w:rsid w:val="005E27B2"/>
    <w:rsid w:val="005E3F98"/>
    <w:rsid w:val="005E489D"/>
    <w:rsid w:val="005E5F40"/>
    <w:rsid w:val="005E74F5"/>
    <w:rsid w:val="005E7674"/>
    <w:rsid w:val="005E7BC1"/>
    <w:rsid w:val="005E7F7A"/>
    <w:rsid w:val="005F15FC"/>
    <w:rsid w:val="005F4822"/>
    <w:rsid w:val="005F6137"/>
    <w:rsid w:val="005F6A72"/>
    <w:rsid w:val="005F7472"/>
    <w:rsid w:val="00602358"/>
    <w:rsid w:val="00606E6B"/>
    <w:rsid w:val="00607747"/>
    <w:rsid w:val="00613D7A"/>
    <w:rsid w:val="006140FF"/>
    <w:rsid w:val="00614340"/>
    <w:rsid w:val="00615973"/>
    <w:rsid w:val="00616979"/>
    <w:rsid w:val="00617947"/>
    <w:rsid w:val="00617993"/>
    <w:rsid w:val="00620A46"/>
    <w:rsid w:val="00622D59"/>
    <w:rsid w:val="00622DF3"/>
    <w:rsid w:val="0062388B"/>
    <w:rsid w:val="00624A94"/>
    <w:rsid w:val="00624FAE"/>
    <w:rsid w:val="006256B6"/>
    <w:rsid w:val="00625B68"/>
    <w:rsid w:val="0062664D"/>
    <w:rsid w:val="006269F9"/>
    <w:rsid w:val="00626A3F"/>
    <w:rsid w:val="00626AA1"/>
    <w:rsid w:val="00626D80"/>
    <w:rsid w:val="00626DED"/>
    <w:rsid w:val="00627E98"/>
    <w:rsid w:val="00627EA5"/>
    <w:rsid w:val="0063148F"/>
    <w:rsid w:val="0063182E"/>
    <w:rsid w:val="00631BA7"/>
    <w:rsid w:val="006326B6"/>
    <w:rsid w:val="006339C6"/>
    <w:rsid w:val="00633F3C"/>
    <w:rsid w:val="00635DFF"/>
    <w:rsid w:val="00636C25"/>
    <w:rsid w:val="0063723B"/>
    <w:rsid w:val="00640A99"/>
    <w:rsid w:val="0064202B"/>
    <w:rsid w:val="00642FD6"/>
    <w:rsid w:val="0064302C"/>
    <w:rsid w:val="00644D40"/>
    <w:rsid w:val="00646CCC"/>
    <w:rsid w:val="006477E2"/>
    <w:rsid w:val="0064790D"/>
    <w:rsid w:val="0064797D"/>
    <w:rsid w:val="006500E4"/>
    <w:rsid w:val="00650336"/>
    <w:rsid w:val="00650B4A"/>
    <w:rsid w:val="006514A4"/>
    <w:rsid w:val="006526B1"/>
    <w:rsid w:val="0065356C"/>
    <w:rsid w:val="00654E3B"/>
    <w:rsid w:val="00656002"/>
    <w:rsid w:val="0066167F"/>
    <w:rsid w:val="00661EFC"/>
    <w:rsid w:val="00663F71"/>
    <w:rsid w:val="006647DD"/>
    <w:rsid w:val="0066594B"/>
    <w:rsid w:val="006733E0"/>
    <w:rsid w:val="0067506B"/>
    <w:rsid w:val="00675E20"/>
    <w:rsid w:val="006763AA"/>
    <w:rsid w:val="006764B3"/>
    <w:rsid w:val="006853F4"/>
    <w:rsid w:val="0069142B"/>
    <w:rsid w:val="00691D94"/>
    <w:rsid w:val="00692863"/>
    <w:rsid w:val="0069443B"/>
    <w:rsid w:val="006964DA"/>
    <w:rsid w:val="00697AE8"/>
    <w:rsid w:val="00697E8E"/>
    <w:rsid w:val="006A1914"/>
    <w:rsid w:val="006A1DC6"/>
    <w:rsid w:val="006A3579"/>
    <w:rsid w:val="006A5649"/>
    <w:rsid w:val="006A57B5"/>
    <w:rsid w:val="006A79F6"/>
    <w:rsid w:val="006B32A7"/>
    <w:rsid w:val="006B380C"/>
    <w:rsid w:val="006B460A"/>
    <w:rsid w:val="006B49C9"/>
    <w:rsid w:val="006B5178"/>
    <w:rsid w:val="006B5502"/>
    <w:rsid w:val="006B5E87"/>
    <w:rsid w:val="006B6B75"/>
    <w:rsid w:val="006B7BE4"/>
    <w:rsid w:val="006C18BB"/>
    <w:rsid w:val="006C3FDB"/>
    <w:rsid w:val="006D2C98"/>
    <w:rsid w:val="006D34BA"/>
    <w:rsid w:val="006D4681"/>
    <w:rsid w:val="006D598B"/>
    <w:rsid w:val="006D5AAF"/>
    <w:rsid w:val="006D5DA2"/>
    <w:rsid w:val="006E11BD"/>
    <w:rsid w:val="006E234E"/>
    <w:rsid w:val="006E362A"/>
    <w:rsid w:val="006F00BF"/>
    <w:rsid w:val="006F09F8"/>
    <w:rsid w:val="006F3EA7"/>
    <w:rsid w:val="006F4061"/>
    <w:rsid w:val="006F60FF"/>
    <w:rsid w:val="006F66BC"/>
    <w:rsid w:val="006F6AFA"/>
    <w:rsid w:val="006F70D2"/>
    <w:rsid w:val="006F72B1"/>
    <w:rsid w:val="006F7C3A"/>
    <w:rsid w:val="007000ED"/>
    <w:rsid w:val="00702349"/>
    <w:rsid w:val="007025EF"/>
    <w:rsid w:val="007028A6"/>
    <w:rsid w:val="00703EF3"/>
    <w:rsid w:val="00704207"/>
    <w:rsid w:val="007056FA"/>
    <w:rsid w:val="0070773E"/>
    <w:rsid w:val="00711155"/>
    <w:rsid w:val="007112F2"/>
    <w:rsid w:val="007136F4"/>
    <w:rsid w:val="007149DF"/>
    <w:rsid w:val="007162AD"/>
    <w:rsid w:val="00716CA9"/>
    <w:rsid w:val="00717445"/>
    <w:rsid w:val="00720028"/>
    <w:rsid w:val="00722C66"/>
    <w:rsid w:val="00722F3B"/>
    <w:rsid w:val="00723176"/>
    <w:rsid w:val="00723839"/>
    <w:rsid w:val="00724330"/>
    <w:rsid w:val="007254DA"/>
    <w:rsid w:val="00725C14"/>
    <w:rsid w:val="00727112"/>
    <w:rsid w:val="00727906"/>
    <w:rsid w:val="00727E02"/>
    <w:rsid w:val="007302E6"/>
    <w:rsid w:val="007308B2"/>
    <w:rsid w:val="00731774"/>
    <w:rsid w:val="00732AAA"/>
    <w:rsid w:val="00732D4A"/>
    <w:rsid w:val="00732E8C"/>
    <w:rsid w:val="00734127"/>
    <w:rsid w:val="00734942"/>
    <w:rsid w:val="00742510"/>
    <w:rsid w:val="00746B41"/>
    <w:rsid w:val="00747C82"/>
    <w:rsid w:val="007511CD"/>
    <w:rsid w:val="0075195F"/>
    <w:rsid w:val="0075335D"/>
    <w:rsid w:val="00753812"/>
    <w:rsid w:val="00755EC4"/>
    <w:rsid w:val="00756575"/>
    <w:rsid w:val="00760176"/>
    <w:rsid w:val="00762082"/>
    <w:rsid w:val="007658FC"/>
    <w:rsid w:val="00766456"/>
    <w:rsid w:val="00766DE5"/>
    <w:rsid w:val="0076734F"/>
    <w:rsid w:val="00767667"/>
    <w:rsid w:val="0076796B"/>
    <w:rsid w:val="0077086E"/>
    <w:rsid w:val="00772770"/>
    <w:rsid w:val="0078146D"/>
    <w:rsid w:val="007817A5"/>
    <w:rsid w:val="00782327"/>
    <w:rsid w:val="0078263C"/>
    <w:rsid w:val="00784EA5"/>
    <w:rsid w:val="00787176"/>
    <w:rsid w:val="00790F8D"/>
    <w:rsid w:val="00791619"/>
    <w:rsid w:val="00791B23"/>
    <w:rsid w:val="00791B33"/>
    <w:rsid w:val="00794001"/>
    <w:rsid w:val="00794ACD"/>
    <w:rsid w:val="007977A8"/>
    <w:rsid w:val="007A4EB6"/>
    <w:rsid w:val="007A61FC"/>
    <w:rsid w:val="007A7EBB"/>
    <w:rsid w:val="007B1662"/>
    <w:rsid w:val="007B1A9A"/>
    <w:rsid w:val="007B3A95"/>
    <w:rsid w:val="007B5438"/>
    <w:rsid w:val="007B708E"/>
    <w:rsid w:val="007C0971"/>
    <w:rsid w:val="007C10EA"/>
    <w:rsid w:val="007C11F4"/>
    <w:rsid w:val="007C3342"/>
    <w:rsid w:val="007C3D6D"/>
    <w:rsid w:val="007C3DD5"/>
    <w:rsid w:val="007C3FE1"/>
    <w:rsid w:val="007C4578"/>
    <w:rsid w:val="007C7176"/>
    <w:rsid w:val="007D0FD5"/>
    <w:rsid w:val="007D12BB"/>
    <w:rsid w:val="007D5555"/>
    <w:rsid w:val="007D6907"/>
    <w:rsid w:val="007D7CBE"/>
    <w:rsid w:val="007E1486"/>
    <w:rsid w:val="007E3575"/>
    <w:rsid w:val="007E5681"/>
    <w:rsid w:val="007E6879"/>
    <w:rsid w:val="007E6F9F"/>
    <w:rsid w:val="007F1C1D"/>
    <w:rsid w:val="007F2B39"/>
    <w:rsid w:val="007F3C83"/>
    <w:rsid w:val="007F4F56"/>
    <w:rsid w:val="007F5B30"/>
    <w:rsid w:val="007F61A4"/>
    <w:rsid w:val="007F74AD"/>
    <w:rsid w:val="0080511F"/>
    <w:rsid w:val="0080746F"/>
    <w:rsid w:val="00810A10"/>
    <w:rsid w:val="00812161"/>
    <w:rsid w:val="00813DE4"/>
    <w:rsid w:val="00814A0B"/>
    <w:rsid w:val="008151BB"/>
    <w:rsid w:val="00817F0F"/>
    <w:rsid w:val="0082041B"/>
    <w:rsid w:val="00820726"/>
    <w:rsid w:val="00822AC5"/>
    <w:rsid w:val="00824F04"/>
    <w:rsid w:val="00830B1C"/>
    <w:rsid w:val="00831870"/>
    <w:rsid w:val="00834B62"/>
    <w:rsid w:val="00834D69"/>
    <w:rsid w:val="008373D3"/>
    <w:rsid w:val="008378FF"/>
    <w:rsid w:val="008400FB"/>
    <w:rsid w:val="008404D6"/>
    <w:rsid w:val="00840CBA"/>
    <w:rsid w:val="00844C6E"/>
    <w:rsid w:val="0084667E"/>
    <w:rsid w:val="00846ED9"/>
    <w:rsid w:val="00850F54"/>
    <w:rsid w:val="008545DD"/>
    <w:rsid w:val="00854A18"/>
    <w:rsid w:val="008565B2"/>
    <w:rsid w:val="00856750"/>
    <w:rsid w:val="0085698E"/>
    <w:rsid w:val="00861AAB"/>
    <w:rsid w:val="0086220C"/>
    <w:rsid w:val="00863780"/>
    <w:rsid w:val="00863AD0"/>
    <w:rsid w:val="0086450F"/>
    <w:rsid w:val="00866C21"/>
    <w:rsid w:val="00867234"/>
    <w:rsid w:val="00870685"/>
    <w:rsid w:val="00870BDD"/>
    <w:rsid w:val="008720A9"/>
    <w:rsid w:val="008727EA"/>
    <w:rsid w:val="00873402"/>
    <w:rsid w:val="008738E3"/>
    <w:rsid w:val="0087593A"/>
    <w:rsid w:val="00877AF3"/>
    <w:rsid w:val="0088135C"/>
    <w:rsid w:val="008817A8"/>
    <w:rsid w:val="0088254B"/>
    <w:rsid w:val="00885351"/>
    <w:rsid w:val="008961CB"/>
    <w:rsid w:val="008A0F73"/>
    <w:rsid w:val="008A2C0E"/>
    <w:rsid w:val="008A365E"/>
    <w:rsid w:val="008A39C6"/>
    <w:rsid w:val="008A3BA9"/>
    <w:rsid w:val="008A4186"/>
    <w:rsid w:val="008A4FA9"/>
    <w:rsid w:val="008A5579"/>
    <w:rsid w:val="008A6535"/>
    <w:rsid w:val="008A6819"/>
    <w:rsid w:val="008B330C"/>
    <w:rsid w:val="008B5DBA"/>
    <w:rsid w:val="008C01F8"/>
    <w:rsid w:val="008C3C53"/>
    <w:rsid w:val="008C4022"/>
    <w:rsid w:val="008C4601"/>
    <w:rsid w:val="008C4856"/>
    <w:rsid w:val="008C4A10"/>
    <w:rsid w:val="008C6B25"/>
    <w:rsid w:val="008D08C6"/>
    <w:rsid w:val="008D0B14"/>
    <w:rsid w:val="008D112A"/>
    <w:rsid w:val="008D1F74"/>
    <w:rsid w:val="008D27A2"/>
    <w:rsid w:val="008D333A"/>
    <w:rsid w:val="008D75D6"/>
    <w:rsid w:val="008D7BA1"/>
    <w:rsid w:val="008E04A0"/>
    <w:rsid w:val="008E071B"/>
    <w:rsid w:val="008E1421"/>
    <w:rsid w:val="008E6A20"/>
    <w:rsid w:val="008E6C3C"/>
    <w:rsid w:val="008E74A8"/>
    <w:rsid w:val="008E7AAB"/>
    <w:rsid w:val="008E7F82"/>
    <w:rsid w:val="008F1ED3"/>
    <w:rsid w:val="008F3512"/>
    <w:rsid w:val="008F6A98"/>
    <w:rsid w:val="008F7503"/>
    <w:rsid w:val="00901601"/>
    <w:rsid w:val="009041CF"/>
    <w:rsid w:val="00904645"/>
    <w:rsid w:val="00904B38"/>
    <w:rsid w:val="009055EF"/>
    <w:rsid w:val="0090616C"/>
    <w:rsid w:val="009068B7"/>
    <w:rsid w:val="00910D9F"/>
    <w:rsid w:val="00911B79"/>
    <w:rsid w:val="00911FCB"/>
    <w:rsid w:val="009170DE"/>
    <w:rsid w:val="00917BA7"/>
    <w:rsid w:val="00922FD9"/>
    <w:rsid w:val="00923DBF"/>
    <w:rsid w:val="00924133"/>
    <w:rsid w:val="009241AE"/>
    <w:rsid w:val="009264A3"/>
    <w:rsid w:val="009301FC"/>
    <w:rsid w:val="009326F3"/>
    <w:rsid w:val="00933EF6"/>
    <w:rsid w:val="00934AF0"/>
    <w:rsid w:val="009360AC"/>
    <w:rsid w:val="00943622"/>
    <w:rsid w:val="00946200"/>
    <w:rsid w:val="009464D3"/>
    <w:rsid w:val="009468BA"/>
    <w:rsid w:val="009477D2"/>
    <w:rsid w:val="00947D23"/>
    <w:rsid w:val="009500C5"/>
    <w:rsid w:val="009518FF"/>
    <w:rsid w:val="0095383B"/>
    <w:rsid w:val="009541B9"/>
    <w:rsid w:val="0095443C"/>
    <w:rsid w:val="009559DF"/>
    <w:rsid w:val="00955A19"/>
    <w:rsid w:val="00955E73"/>
    <w:rsid w:val="009569A5"/>
    <w:rsid w:val="00957301"/>
    <w:rsid w:val="0096127E"/>
    <w:rsid w:val="0096185F"/>
    <w:rsid w:val="00961AA0"/>
    <w:rsid w:val="00962AE4"/>
    <w:rsid w:val="00963370"/>
    <w:rsid w:val="0096431F"/>
    <w:rsid w:val="009645E8"/>
    <w:rsid w:val="00964D81"/>
    <w:rsid w:val="0096703D"/>
    <w:rsid w:val="009673F2"/>
    <w:rsid w:val="0097110C"/>
    <w:rsid w:val="00971455"/>
    <w:rsid w:val="00971825"/>
    <w:rsid w:val="009722AF"/>
    <w:rsid w:val="009747E8"/>
    <w:rsid w:val="00975840"/>
    <w:rsid w:val="00976115"/>
    <w:rsid w:val="00977AA6"/>
    <w:rsid w:val="00982DB9"/>
    <w:rsid w:val="009834C6"/>
    <w:rsid w:val="009837A5"/>
    <w:rsid w:val="00987BEB"/>
    <w:rsid w:val="0099025B"/>
    <w:rsid w:val="009902D2"/>
    <w:rsid w:val="0099084A"/>
    <w:rsid w:val="009957D2"/>
    <w:rsid w:val="0099705A"/>
    <w:rsid w:val="009A0493"/>
    <w:rsid w:val="009A100B"/>
    <w:rsid w:val="009A1374"/>
    <w:rsid w:val="009A1EAD"/>
    <w:rsid w:val="009A2926"/>
    <w:rsid w:val="009A4364"/>
    <w:rsid w:val="009A57B2"/>
    <w:rsid w:val="009A7AEE"/>
    <w:rsid w:val="009B01FC"/>
    <w:rsid w:val="009B0B8B"/>
    <w:rsid w:val="009B3A8F"/>
    <w:rsid w:val="009B40C8"/>
    <w:rsid w:val="009B4464"/>
    <w:rsid w:val="009B4E41"/>
    <w:rsid w:val="009B704A"/>
    <w:rsid w:val="009C459F"/>
    <w:rsid w:val="009C4726"/>
    <w:rsid w:val="009C55D5"/>
    <w:rsid w:val="009C5AAA"/>
    <w:rsid w:val="009D04B2"/>
    <w:rsid w:val="009D05FB"/>
    <w:rsid w:val="009D1F52"/>
    <w:rsid w:val="009D2386"/>
    <w:rsid w:val="009D73CD"/>
    <w:rsid w:val="009E0D95"/>
    <w:rsid w:val="009E16B6"/>
    <w:rsid w:val="009E1EA9"/>
    <w:rsid w:val="009E1F21"/>
    <w:rsid w:val="009E361A"/>
    <w:rsid w:val="009E3645"/>
    <w:rsid w:val="009E3A43"/>
    <w:rsid w:val="009E471E"/>
    <w:rsid w:val="009E4AFF"/>
    <w:rsid w:val="009F1FEB"/>
    <w:rsid w:val="009F29A1"/>
    <w:rsid w:val="009F2AF2"/>
    <w:rsid w:val="009F3E03"/>
    <w:rsid w:val="009F4A71"/>
    <w:rsid w:val="009F6FE9"/>
    <w:rsid w:val="009F7E41"/>
    <w:rsid w:val="00A01872"/>
    <w:rsid w:val="00A01B31"/>
    <w:rsid w:val="00A0271D"/>
    <w:rsid w:val="00A04EBE"/>
    <w:rsid w:val="00A11D00"/>
    <w:rsid w:val="00A13294"/>
    <w:rsid w:val="00A135EC"/>
    <w:rsid w:val="00A14D4D"/>
    <w:rsid w:val="00A15350"/>
    <w:rsid w:val="00A1551F"/>
    <w:rsid w:val="00A16659"/>
    <w:rsid w:val="00A179A8"/>
    <w:rsid w:val="00A22C8E"/>
    <w:rsid w:val="00A22CD4"/>
    <w:rsid w:val="00A233A0"/>
    <w:rsid w:val="00A236A0"/>
    <w:rsid w:val="00A25AEB"/>
    <w:rsid w:val="00A273F9"/>
    <w:rsid w:val="00A30097"/>
    <w:rsid w:val="00A310BB"/>
    <w:rsid w:val="00A31B7A"/>
    <w:rsid w:val="00A339BF"/>
    <w:rsid w:val="00A35110"/>
    <w:rsid w:val="00A35926"/>
    <w:rsid w:val="00A36D03"/>
    <w:rsid w:val="00A37083"/>
    <w:rsid w:val="00A413B2"/>
    <w:rsid w:val="00A45354"/>
    <w:rsid w:val="00A467EE"/>
    <w:rsid w:val="00A46D8B"/>
    <w:rsid w:val="00A50B89"/>
    <w:rsid w:val="00A50CDB"/>
    <w:rsid w:val="00A528A6"/>
    <w:rsid w:val="00A5547B"/>
    <w:rsid w:val="00A6363E"/>
    <w:rsid w:val="00A63DD9"/>
    <w:rsid w:val="00A63E43"/>
    <w:rsid w:val="00A674A8"/>
    <w:rsid w:val="00A7055C"/>
    <w:rsid w:val="00A716A2"/>
    <w:rsid w:val="00A720A8"/>
    <w:rsid w:val="00A74FBE"/>
    <w:rsid w:val="00A752DB"/>
    <w:rsid w:val="00A75CBB"/>
    <w:rsid w:val="00A76057"/>
    <w:rsid w:val="00A763E5"/>
    <w:rsid w:val="00A7652A"/>
    <w:rsid w:val="00A81D85"/>
    <w:rsid w:val="00A82BA5"/>
    <w:rsid w:val="00A85EB0"/>
    <w:rsid w:val="00A878EE"/>
    <w:rsid w:val="00A91960"/>
    <w:rsid w:val="00A91AE2"/>
    <w:rsid w:val="00A92960"/>
    <w:rsid w:val="00A947A3"/>
    <w:rsid w:val="00A9533C"/>
    <w:rsid w:val="00A9684C"/>
    <w:rsid w:val="00A97B07"/>
    <w:rsid w:val="00AA0D56"/>
    <w:rsid w:val="00AA116E"/>
    <w:rsid w:val="00AA3AA4"/>
    <w:rsid w:val="00AA7C56"/>
    <w:rsid w:val="00AB152D"/>
    <w:rsid w:val="00AB278D"/>
    <w:rsid w:val="00AB5C0E"/>
    <w:rsid w:val="00AB60A8"/>
    <w:rsid w:val="00AB7F0D"/>
    <w:rsid w:val="00AC2EA4"/>
    <w:rsid w:val="00AC60EF"/>
    <w:rsid w:val="00AC6318"/>
    <w:rsid w:val="00AD19FA"/>
    <w:rsid w:val="00AD1A9D"/>
    <w:rsid w:val="00AD3169"/>
    <w:rsid w:val="00AD3B50"/>
    <w:rsid w:val="00AD62EF"/>
    <w:rsid w:val="00AE0782"/>
    <w:rsid w:val="00AE2F09"/>
    <w:rsid w:val="00AE3487"/>
    <w:rsid w:val="00AE48BD"/>
    <w:rsid w:val="00AE4BCE"/>
    <w:rsid w:val="00AE4EB1"/>
    <w:rsid w:val="00AF1EB2"/>
    <w:rsid w:val="00AF2616"/>
    <w:rsid w:val="00AF2696"/>
    <w:rsid w:val="00AF444F"/>
    <w:rsid w:val="00AF55D4"/>
    <w:rsid w:val="00AF6419"/>
    <w:rsid w:val="00AF659D"/>
    <w:rsid w:val="00B00B5E"/>
    <w:rsid w:val="00B01A76"/>
    <w:rsid w:val="00B0244A"/>
    <w:rsid w:val="00B06ABC"/>
    <w:rsid w:val="00B11FA0"/>
    <w:rsid w:val="00B15D3E"/>
    <w:rsid w:val="00B16D9C"/>
    <w:rsid w:val="00B17A4B"/>
    <w:rsid w:val="00B20B31"/>
    <w:rsid w:val="00B24472"/>
    <w:rsid w:val="00B25AC4"/>
    <w:rsid w:val="00B26877"/>
    <w:rsid w:val="00B32413"/>
    <w:rsid w:val="00B32988"/>
    <w:rsid w:val="00B3365A"/>
    <w:rsid w:val="00B34134"/>
    <w:rsid w:val="00B34462"/>
    <w:rsid w:val="00B372D8"/>
    <w:rsid w:val="00B42EBC"/>
    <w:rsid w:val="00B44338"/>
    <w:rsid w:val="00B4576C"/>
    <w:rsid w:val="00B551DA"/>
    <w:rsid w:val="00B57A94"/>
    <w:rsid w:val="00B6084D"/>
    <w:rsid w:val="00B61DC4"/>
    <w:rsid w:val="00B62F03"/>
    <w:rsid w:val="00B64370"/>
    <w:rsid w:val="00B70149"/>
    <w:rsid w:val="00B709B0"/>
    <w:rsid w:val="00B710A7"/>
    <w:rsid w:val="00B7193D"/>
    <w:rsid w:val="00B71B9B"/>
    <w:rsid w:val="00B740B9"/>
    <w:rsid w:val="00B7605E"/>
    <w:rsid w:val="00B76860"/>
    <w:rsid w:val="00B76F42"/>
    <w:rsid w:val="00B8085A"/>
    <w:rsid w:val="00B80E8C"/>
    <w:rsid w:val="00B83EC2"/>
    <w:rsid w:val="00B84A3B"/>
    <w:rsid w:val="00B85529"/>
    <w:rsid w:val="00B861F5"/>
    <w:rsid w:val="00B87105"/>
    <w:rsid w:val="00B87D13"/>
    <w:rsid w:val="00B91947"/>
    <w:rsid w:val="00B923FE"/>
    <w:rsid w:val="00B94B08"/>
    <w:rsid w:val="00B94D51"/>
    <w:rsid w:val="00B9575D"/>
    <w:rsid w:val="00B96707"/>
    <w:rsid w:val="00BA0502"/>
    <w:rsid w:val="00BA1E2A"/>
    <w:rsid w:val="00BA4F02"/>
    <w:rsid w:val="00BA5461"/>
    <w:rsid w:val="00BA54AB"/>
    <w:rsid w:val="00BA616A"/>
    <w:rsid w:val="00BB0DE6"/>
    <w:rsid w:val="00BB1901"/>
    <w:rsid w:val="00BB1BCE"/>
    <w:rsid w:val="00BB1C3B"/>
    <w:rsid w:val="00BB1E3E"/>
    <w:rsid w:val="00BB1F2A"/>
    <w:rsid w:val="00BB2512"/>
    <w:rsid w:val="00BB26CE"/>
    <w:rsid w:val="00BB3674"/>
    <w:rsid w:val="00BB7394"/>
    <w:rsid w:val="00BC2645"/>
    <w:rsid w:val="00BC61D3"/>
    <w:rsid w:val="00BC6817"/>
    <w:rsid w:val="00BD1C4E"/>
    <w:rsid w:val="00BD32F0"/>
    <w:rsid w:val="00BD3C9C"/>
    <w:rsid w:val="00BD404C"/>
    <w:rsid w:val="00BD5524"/>
    <w:rsid w:val="00BD5788"/>
    <w:rsid w:val="00BE1315"/>
    <w:rsid w:val="00BE1551"/>
    <w:rsid w:val="00BE29D1"/>
    <w:rsid w:val="00BE637D"/>
    <w:rsid w:val="00BE787F"/>
    <w:rsid w:val="00BF025B"/>
    <w:rsid w:val="00BF2940"/>
    <w:rsid w:val="00BF5DED"/>
    <w:rsid w:val="00BF6B3A"/>
    <w:rsid w:val="00BF75F6"/>
    <w:rsid w:val="00C00177"/>
    <w:rsid w:val="00C0087F"/>
    <w:rsid w:val="00C009BF"/>
    <w:rsid w:val="00C01053"/>
    <w:rsid w:val="00C0779F"/>
    <w:rsid w:val="00C11E8D"/>
    <w:rsid w:val="00C14147"/>
    <w:rsid w:val="00C143C0"/>
    <w:rsid w:val="00C1498D"/>
    <w:rsid w:val="00C14E37"/>
    <w:rsid w:val="00C21384"/>
    <w:rsid w:val="00C216F1"/>
    <w:rsid w:val="00C21923"/>
    <w:rsid w:val="00C21A41"/>
    <w:rsid w:val="00C23D63"/>
    <w:rsid w:val="00C25197"/>
    <w:rsid w:val="00C26C83"/>
    <w:rsid w:val="00C26FCB"/>
    <w:rsid w:val="00C30B58"/>
    <w:rsid w:val="00C31093"/>
    <w:rsid w:val="00C312E3"/>
    <w:rsid w:val="00C32E48"/>
    <w:rsid w:val="00C330C5"/>
    <w:rsid w:val="00C34AD1"/>
    <w:rsid w:val="00C35D1C"/>
    <w:rsid w:val="00C36373"/>
    <w:rsid w:val="00C37938"/>
    <w:rsid w:val="00C37EA5"/>
    <w:rsid w:val="00C41A23"/>
    <w:rsid w:val="00C42922"/>
    <w:rsid w:val="00C42ADF"/>
    <w:rsid w:val="00C4534D"/>
    <w:rsid w:val="00C47352"/>
    <w:rsid w:val="00C53038"/>
    <w:rsid w:val="00C530A5"/>
    <w:rsid w:val="00C547DA"/>
    <w:rsid w:val="00C551B6"/>
    <w:rsid w:val="00C569C7"/>
    <w:rsid w:val="00C577E3"/>
    <w:rsid w:val="00C613AC"/>
    <w:rsid w:val="00C63257"/>
    <w:rsid w:val="00C6596D"/>
    <w:rsid w:val="00C71997"/>
    <w:rsid w:val="00C71DD6"/>
    <w:rsid w:val="00C7360F"/>
    <w:rsid w:val="00C73AB5"/>
    <w:rsid w:val="00C74D41"/>
    <w:rsid w:val="00C82919"/>
    <w:rsid w:val="00C82C0B"/>
    <w:rsid w:val="00C84C04"/>
    <w:rsid w:val="00C85EDE"/>
    <w:rsid w:val="00C874D8"/>
    <w:rsid w:val="00C92B04"/>
    <w:rsid w:val="00C92F41"/>
    <w:rsid w:val="00C9711F"/>
    <w:rsid w:val="00CA02B8"/>
    <w:rsid w:val="00CA02CC"/>
    <w:rsid w:val="00CA1575"/>
    <w:rsid w:val="00CA250C"/>
    <w:rsid w:val="00CB0B1A"/>
    <w:rsid w:val="00CB0E3C"/>
    <w:rsid w:val="00CB28AA"/>
    <w:rsid w:val="00CB2EF7"/>
    <w:rsid w:val="00CB307D"/>
    <w:rsid w:val="00CB3AEC"/>
    <w:rsid w:val="00CB44FB"/>
    <w:rsid w:val="00CB60F6"/>
    <w:rsid w:val="00CB6C46"/>
    <w:rsid w:val="00CC0337"/>
    <w:rsid w:val="00CC0E3F"/>
    <w:rsid w:val="00CC257B"/>
    <w:rsid w:val="00CC5910"/>
    <w:rsid w:val="00CC6BB2"/>
    <w:rsid w:val="00CC6CF7"/>
    <w:rsid w:val="00CD0987"/>
    <w:rsid w:val="00CD0BD9"/>
    <w:rsid w:val="00CD0C6A"/>
    <w:rsid w:val="00CD0DED"/>
    <w:rsid w:val="00CD36B4"/>
    <w:rsid w:val="00CD43EA"/>
    <w:rsid w:val="00CD501A"/>
    <w:rsid w:val="00CD5E05"/>
    <w:rsid w:val="00CD610A"/>
    <w:rsid w:val="00CD636F"/>
    <w:rsid w:val="00CE042B"/>
    <w:rsid w:val="00CE179F"/>
    <w:rsid w:val="00CE1D55"/>
    <w:rsid w:val="00CE3848"/>
    <w:rsid w:val="00CE3F39"/>
    <w:rsid w:val="00CF236C"/>
    <w:rsid w:val="00CF2B09"/>
    <w:rsid w:val="00CF4B70"/>
    <w:rsid w:val="00D01B01"/>
    <w:rsid w:val="00D02313"/>
    <w:rsid w:val="00D02A29"/>
    <w:rsid w:val="00D035B8"/>
    <w:rsid w:val="00D03ECF"/>
    <w:rsid w:val="00D043FE"/>
    <w:rsid w:val="00D056A1"/>
    <w:rsid w:val="00D06076"/>
    <w:rsid w:val="00D06833"/>
    <w:rsid w:val="00D11BCD"/>
    <w:rsid w:val="00D138AD"/>
    <w:rsid w:val="00D14123"/>
    <w:rsid w:val="00D14F75"/>
    <w:rsid w:val="00D16BCB"/>
    <w:rsid w:val="00D2183B"/>
    <w:rsid w:val="00D21DFF"/>
    <w:rsid w:val="00D22112"/>
    <w:rsid w:val="00D27F6C"/>
    <w:rsid w:val="00D31158"/>
    <w:rsid w:val="00D31C49"/>
    <w:rsid w:val="00D3207C"/>
    <w:rsid w:val="00D346D2"/>
    <w:rsid w:val="00D35F8A"/>
    <w:rsid w:val="00D374EF"/>
    <w:rsid w:val="00D37907"/>
    <w:rsid w:val="00D37BF6"/>
    <w:rsid w:val="00D4069F"/>
    <w:rsid w:val="00D40903"/>
    <w:rsid w:val="00D40973"/>
    <w:rsid w:val="00D421C2"/>
    <w:rsid w:val="00D4350C"/>
    <w:rsid w:val="00D50786"/>
    <w:rsid w:val="00D515AC"/>
    <w:rsid w:val="00D52C24"/>
    <w:rsid w:val="00D53631"/>
    <w:rsid w:val="00D53D19"/>
    <w:rsid w:val="00D5507D"/>
    <w:rsid w:val="00D5563A"/>
    <w:rsid w:val="00D5630E"/>
    <w:rsid w:val="00D61A56"/>
    <w:rsid w:val="00D62645"/>
    <w:rsid w:val="00D64202"/>
    <w:rsid w:val="00D64799"/>
    <w:rsid w:val="00D70B02"/>
    <w:rsid w:val="00D71077"/>
    <w:rsid w:val="00D72C38"/>
    <w:rsid w:val="00D73A68"/>
    <w:rsid w:val="00D76907"/>
    <w:rsid w:val="00D80F10"/>
    <w:rsid w:val="00D817C1"/>
    <w:rsid w:val="00D81C91"/>
    <w:rsid w:val="00D82956"/>
    <w:rsid w:val="00D82AAD"/>
    <w:rsid w:val="00D8393C"/>
    <w:rsid w:val="00D863AA"/>
    <w:rsid w:val="00D876C9"/>
    <w:rsid w:val="00D91B69"/>
    <w:rsid w:val="00D91FB2"/>
    <w:rsid w:val="00D922B5"/>
    <w:rsid w:val="00D928AB"/>
    <w:rsid w:val="00D94745"/>
    <w:rsid w:val="00D962F9"/>
    <w:rsid w:val="00D96867"/>
    <w:rsid w:val="00D969F6"/>
    <w:rsid w:val="00DA0325"/>
    <w:rsid w:val="00DA5B66"/>
    <w:rsid w:val="00DA5ED3"/>
    <w:rsid w:val="00DA6EF0"/>
    <w:rsid w:val="00DB0B38"/>
    <w:rsid w:val="00DB361A"/>
    <w:rsid w:val="00DB436D"/>
    <w:rsid w:val="00DB44F9"/>
    <w:rsid w:val="00DB52F6"/>
    <w:rsid w:val="00DB5724"/>
    <w:rsid w:val="00DB6903"/>
    <w:rsid w:val="00DC083E"/>
    <w:rsid w:val="00DC0C28"/>
    <w:rsid w:val="00DC1A71"/>
    <w:rsid w:val="00DC24A2"/>
    <w:rsid w:val="00DC2993"/>
    <w:rsid w:val="00DC2A37"/>
    <w:rsid w:val="00DC3056"/>
    <w:rsid w:val="00DC3553"/>
    <w:rsid w:val="00DC5DEB"/>
    <w:rsid w:val="00DD0225"/>
    <w:rsid w:val="00DD0BAA"/>
    <w:rsid w:val="00DD2F9C"/>
    <w:rsid w:val="00DE0A8D"/>
    <w:rsid w:val="00DE0DAE"/>
    <w:rsid w:val="00DE1943"/>
    <w:rsid w:val="00DE3062"/>
    <w:rsid w:val="00DF0643"/>
    <w:rsid w:val="00DF0713"/>
    <w:rsid w:val="00DF0D8A"/>
    <w:rsid w:val="00DF25D8"/>
    <w:rsid w:val="00DF4275"/>
    <w:rsid w:val="00DF55DA"/>
    <w:rsid w:val="00DF5951"/>
    <w:rsid w:val="00DF5DB6"/>
    <w:rsid w:val="00DF5E6A"/>
    <w:rsid w:val="00DF65AB"/>
    <w:rsid w:val="00E03694"/>
    <w:rsid w:val="00E03E8E"/>
    <w:rsid w:val="00E05146"/>
    <w:rsid w:val="00E05EF8"/>
    <w:rsid w:val="00E076EC"/>
    <w:rsid w:val="00E07C41"/>
    <w:rsid w:val="00E07F19"/>
    <w:rsid w:val="00E10CD8"/>
    <w:rsid w:val="00E11ADF"/>
    <w:rsid w:val="00E1246B"/>
    <w:rsid w:val="00E13A95"/>
    <w:rsid w:val="00E1511C"/>
    <w:rsid w:val="00E17028"/>
    <w:rsid w:val="00E2160F"/>
    <w:rsid w:val="00E21BBC"/>
    <w:rsid w:val="00E25A29"/>
    <w:rsid w:val="00E25C22"/>
    <w:rsid w:val="00E3389B"/>
    <w:rsid w:val="00E3464D"/>
    <w:rsid w:val="00E37243"/>
    <w:rsid w:val="00E41F73"/>
    <w:rsid w:val="00E47913"/>
    <w:rsid w:val="00E5041E"/>
    <w:rsid w:val="00E504DC"/>
    <w:rsid w:val="00E507C8"/>
    <w:rsid w:val="00E5374B"/>
    <w:rsid w:val="00E56589"/>
    <w:rsid w:val="00E575F7"/>
    <w:rsid w:val="00E61FE7"/>
    <w:rsid w:val="00E66F5A"/>
    <w:rsid w:val="00E71FC8"/>
    <w:rsid w:val="00E722B1"/>
    <w:rsid w:val="00E73219"/>
    <w:rsid w:val="00E7336E"/>
    <w:rsid w:val="00E7363C"/>
    <w:rsid w:val="00E805D3"/>
    <w:rsid w:val="00E80F6F"/>
    <w:rsid w:val="00E822CA"/>
    <w:rsid w:val="00E84A0E"/>
    <w:rsid w:val="00E87FD1"/>
    <w:rsid w:val="00E92C70"/>
    <w:rsid w:val="00E92E7C"/>
    <w:rsid w:val="00E945CF"/>
    <w:rsid w:val="00E95276"/>
    <w:rsid w:val="00E954D4"/>
    <w:rsid w:val="00E97E03"/>
    <w:rsid w:val="00EA35D3"/>
    <w:rsid w:val="00EA633C"/>
    <w:rsid w:val="00EB04A9"/>
    <w:rsid w:val="00EB12C3"/>
    <w:rsid w:val="00EB27BC"/>
    <w:rsid w:val="00EB5487"/>
    <w:rsid w:val="00EB5EB0"/>
    <w:rsid w:val="00EB6CDA"/>
    <w:rsid w:val="00EB7A3A"/>
    <w:rsid w:val="00EC024E"/>
    <w:rsid w:val="00EC0917"/>
    <w:rsid w:val="00EC3A51"/>
    <w:rsid w:val="00EC4E98"/>
    <w:rsid w:val="00EC50B5"/>
    <w:rsid w:val="00EC5FAC"/>
    <w:rsid w:val="00EC71CA"/>
    <w:rsid w:val="00EC7F5F"/>
    <w:rsid w:val="00ED0098"/>
    <w:rsid w:val="00ED17B3"/>
    <w:rsid w:val="00ED26FF"/>
    <w:rsid w:val="00ED405E"/>
    <w:rsid w:val="00ED418F"/>
    <w:rsid w:val="00ED5D96"/>
    <w:rsid w:val="00EE0117"/>
    <w:rsid w:val="00EE0EE0"/>
    <w:rsid w:val="00EE369B"/>
    <w:rsid w:val="00EE437D"/>
    <w:rsid w:val="00EE5A2A"/>
    <w:rsid w:val="00EF113A"/>
    <w:rsid w:val="00EF1496"/>
    <w:rsid w:val="00EF6152"/>
    <w:rsid w:val="00F00573"/>
    <w:rsid w:val="00F0231E"/>
    <w:rsid w:val="00F02326"/>
    <w:rsid w:val="00F04363"/>
    <w:rsid w:val="00F04366"/>
    <w:rsid w:val="00F043FC"/>
    <w:rsid w:val="00F1003F"/>
    <w:rsid w:val="00F1025F"/>
    <w:rsid w:val="00F112FB"/>
    <w:rsid w:val="00F1239F"/>
    <w:rsid w:val="00F14FA6"/>
    <w:rsid w:val="00F155CE"/>
    <w:rsid w:val="00F21B72"/>
    <w:rsid w:val="00F22FA9"/>
    <w:rsid w:val="00F242AF"/>
    <w:rsid w:val="00F25DCF"/>
    <w:rsid w:val="00F26ED1"/>
    <w:rsid w:val="00F33133"/>
    <w:rsid w:val="00F4094F"/>
    <w:rsid w:val="00F4537B"/>
    <w:rsid w:val="00F45993"/>
    <w:rsid w:val="00F47345"/>
    <w:rsid w:val="00F47D9C"/>
    <w:rsid w:val="00F50C06"/>
    <w:rsid w:val="00F52608"/>
    <w:rsid w:val="00F528F3"/>
    <w:rsid w:val="00F535CC"/>
    <w:rsid w:val="00F53D43"/>
    <w:rsid w:val="00F545E0"/>
    <w:rsid w:val="00F568DD"/>
    <w:rsid w:val="00F579CD"/>
    <w:rsid w:val="00F57E0D"/>
    <w:rsid w:val="00F61AF6"/>
    <w:rsid w:val="00F62A25"/>
    <w:rsid w:val="00F62A40"/>
    <w:rsid w:val="00F64C7D"/>
    <w:rsid w:val="00F67616"/>
    <w:rsid w:val="00F6767B"/>
    <w:rsid w:val="00F676F0"/>
    <w:rsid w:val="00F67A5D"/>
    <w:rsid w:val="00F754C6"/>
    <w:rsid w:val="00F76035"/>
    <w:rsid w:val="00F76E08"/>
    <w:rsid w:val="00F77801"/>
    <w:rsid w:val="00F77C18"/>
    <w:rsid w:val="00F802FD"/>
    <w:rsid w:val="00F808DE"/>
    <w:rsid w:val="00F81B2F"/>
    <w:rsid w:val="00F8290F"/>
    <w:rsid w:val="00F82C41"/>
    <w:rsid w:val="00F85EB0"/>
    <w:rsid w:val="00F91727"/>
    <w:rsid w:val="00F92D9E"/>
    <w:rsid w:val="00F94706"/>
    <w:rsid w:val="00F95E85"/>
    <w:rsid w:val="00F97421"/>
    <w:rsid w:val="00FA0E66"/>
    <w:rsid w:val="00FA11AC"/>
    <w:rsid w:val="00FA20D8"/>
    <w:rsid w:val="00FA294D"/>
    <w:rsid w:val="00FA33E8"/>
    <w:rsid w:val="00FA40BA"/>
    <w:rsid w:val="00FA6BC1"/>
    <w:rsid w:val="00FA7627"/>
    <w:rsid w:val="00FB02B1"/>
    <w:rsid w:val="00FB0608"/>
    <w:rsid w:val="00FB2935"/>
    <w:rsid w:val="00FB3E99"/>
    <w:rsid w:val="00FB549E"/>
    <w:rsid w:val="00FC1D22"/>
    <w:rsid w:val="00FC5DF5"/>
    <w:rsid w:val="00FC700F"/>
    <w:rsid w:val="00FC73BB"/>
    <w:rsid w:val="00FC7C8E"/>
    <w:rsid w:val="00FD15CE"/>
    <w:rsid w:val="00FD1734"/>
    <w:rsid w:val="00FD302F"/>
    <w:rsid w:val="00FD6B95"/>
    <w:rsid w:val="00FD7732"/>
    <w:rsid w:val="00FD7D21"/>
    <w:rsid w:val="00FE2CAF"/>
    <w:rsid w:val="00FE3024"/>
    <w:rsid w:val="00FE53FD"/>
    <w:rsid w:val="00FE6760"/>
    <w:rsid w:val="00FE759E"/>
    <w:rsid w:val="00FE7F88"/>
    <w:rsid w:val="00FF01ED"/>
    <w:rsid w:val="00FF1B85"/>
    <w:rsid w:val="00FF30D0"/>
    <w:rsid w:val="00FF4D88"/>
    <w:rsid w:val="00FF512C"/>
    <w:rsid w:val="00FF5D25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C4A98"/>
  <w15:docId w15:val="{4B0A7CC3-C20A-42F7-BAB3-199FAFD0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15350"/>
  </w:style>
  <w:style w:type="paragraph" w:styleId="Cmsor1">
    <w:name w:val="heading 1"/>
    <w:basedOn w:val="Norml"/>
    <w:next w:val="Norml"/>
    <w:link w:val="Cmsor1Char"/>
    <w:uiPriority w:val="9"/>
    <w:qFormat/>
    <w:rsid w:val="00260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Cmsor1"/>
    <w:next w:val="Norml"/>
    <w:link w:val="Cmsor2Char"/>
    <w:uiPriority w:val="9"/>
    <w:semiHidden/>
    <w:unhideWhenUsed/>
    <w:qFormat/>
    <w:rsid w:val="00C577E3"/>
    <w:pPr>
      <w:spacing w:before="200"/>
      <w:outlineLvl w:val="1"/>
    </w:pPr>
    <w:rPr>
      <w:color w:val="4F81BD" w:themeColor="accent1"/>
      <w:sz w:val="26"/>
      <w:szCs w:val="26"/>
    </w:rPr>
  </w:style>
  <w:style w:type="paragraph" w:styleId="Cmsor3">
    <w:name w:val="heading 3"/>
    <w:basedOn w:val="Cmsor1"/>
    <w:next w:val="Norml"/>
    <w:link w:val="Cmsor3Char"/>
    <w:uiPriority w:val="9"/>
    <w:semiHidden/>
    <w:unhideWhenUsed/>
    <w:qFormat/>
    <w:rsid w:val="007511CD"/>
    <w:pPr>
      <w:spacing w:before="200"/>
      <w:outlineLvl w:val="2"/>
    </w:pPr>
    <w:rPr>
      <w:color w:val="4F81BD" w:themeColor="accent1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64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64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64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64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64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64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6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57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51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964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964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sid w:val="006964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sid w:val="0069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sid w:val="0069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sid w:val="0069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basedOn w:val="Norml"/>
    <w:link w:val="lfejChar"/>
    <w:uiPriority w:val="99"/>
    <w:semiHidden/>
    <w:rsid w:val="00F53D43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53D43"/>
    <w:rPr>
      <w:rFonts w:ascii="Segoe UI" w:hAnsi="Segoe UI" w:cs="Times New Roman"/>
      <w:sz w:val="20"/>
      <w:lang w:eastAsia="hu-HU"/>
    </w:rPr>
  </w:style>
  <w:style w:type="paragraph" w:styleId="llb">
    <w:name w:val="footer"/>
    <w:basedOn w:val="Norml"/>
    <w:link w:val="llbChar"/>
    <w:uiPriority w:val="99"/>
    <w:rsid w:val="001A6787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F53D43"/>
    <w:rPr>
      <w:rFonts w:ascii="Segoe UI" w:hAnsi="Segoe UI" w:cs="Times New Roman"/>
      <w:sz w:val="20"/>
      <w:lang w:eastAsia="hu-HU"/>
    </w:rPr>
  </w:style>
  <w:style w:type="paragraph" w:styleId="Lbjegyzetszveg">
    <w:name w:val="footnote text"/>
    <w:aliases w:val="Footnote Text2,Footnote Text11,ALTS FOOTNOTE11,Footnote Text Char111,Footnote Text Char Char Char11,Footnote Text Char1 Char Char Char Char11,Footnote Text Char1 Char Char Char11,ALTS FOOTNOTE2 Char Char,ALTS FOOTNOTE2 Char Char Char"/>
    <w:basedOn w:val="Norml"/>
    <w:link w:val="LbjegyzetszvegChar"/>
    <w:uiPriority w:val="99"/>
    <w:qFormat/>
    <w:rsid w:val="00EF113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2 Char,Footnote Text11 Char,ALTS FOOTNOTE11 Char,Footnote Text Char111 Char,Footnote Text Char Char Char11 Char,Footnote Text Char1 Char Char Char Char11 Char,Footnote Text Char1 Char Char Char11 Char"/>
    <w:basedOn w:val="Bekezdsalapbettpusa"/>
    <w:link w:val="Lbjegyzetszveg"/>
    <w:uiPriority w:val="99"/>
    <w:locked/>
    <w:rsid w:val="00EF113A"/>
    <w:rPr>
      <w:rFonts w:ascii="Times New Roman" w:hAnsi="Times New Roman"/>
      <w:sz w:val="20"/>
    </w:rPr>
  </w:style>
  <w:style w:type="paragraph" w:customStyle="1" w:styleId="szmozottszveg">
    <w:name w:val="számozott_szöveg"/>
    <w:basedOn w:val="Listaszerbekezds"/>
    <w:uiPriority w:val="99"/>
    <w:semiHidden/>
    <w:rsid w:val="00D16BCB"/>
    <w:pPr>
      <w:numPr>
        <w:numId w:val="1"/>
      </w:numPr>
    </w:pPr>
    <w:rPr>
      <w:rFonts w:cs="Segoe UI"/>
      <w:lang w:eastAsia="en-US"/>
    </w:rPr>
  </w:style>
  <w:style w:type="paragraph" w:styleId="Listaszerbekezds">
    <w:name w:val="List Paragraph"/>
    <w:basedOn w:val="Norml"/>
    <w:uiPriority w:val="34"/>
    <w:qFormat/>
    <w:rsid w:val="00D16BCB"/>
    <w:pPr>
      <w:ind w:left="720"/>
      <w:contextualSpacing/>
    </w:pPr>
  </w:style>
  <w:style w:type="paragraph" w:customStyle="1" w:styleId="Norml1">
    <w:name w:val="Normál1"/>
    <w:aliases w:val="Szöveg1"/>
    <w:next w:val="Norml"/>
    <w:uiPriority w:val="99"/>
    <w:semiHidden/>
    <w:rsid w:val="00046E65"/>
    <w:pPr>
      <w:spacing w:after="120" w:line="312" w:lineRule="auto"/>
      <w:jc w:val="both"/>
    </w:pPr>
    <w:rPr>
      <w:rFonts w:ascii="Segoe UI" w:hAnsi="Segoe UI" w:cs="Times New Roman"/>
    </w:rPr>
  </w:style>
  <w:style w:type="paragraph" w:customStyle="1" w:styleId="Idzetbekezds">
    <w:name w:val="Idézetbekezdés"/>
    <w:basedOn w:val="Norml"/>
    <w:uiPriority w:val="99"/>
    <w:rsid w:val="00947D23"/>
    <w:pPr>
      <w:spacing w:line="240" w:lineRule="auto"/>
      <w:ind w:left="737"/>
    </w:pPr>
  </w:style>
  <w:style w:type="paragraph" w:styleId="Cm">
    <w:name w:val="Title"/>
    <w:basedOn w:val="Norml"/>
    <w:next w:val="Norml"/>
    <w:link w:val="CmChar"/>
    <w:uiPriority w:val="10"/>
    <w:qFormat/>
    <w:rsid w:val="00324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locked/>
    <w:rsid w:val="00324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rsid w:val="002C6443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914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F545E0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F545E0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F545E0"/>
    <w:rPr>
      <w:rFonts w:ascii="Segoe UI" w:hAnsi="Segoe UI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45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F545E0"/>
    <w:rPr>
      <w:rFonts w:ascii="Segoe UI" w:hAnsi="Segoe UI" w:cs="Times New Roman"/>
      <w:b/>
    </w:rPr>
  </w:style>
  <w:style w:type="paragraph" w:styleId="Buborkszveg">
    <w:name w:val="Balloon Text"/>
    <w:basedOn w:val="Norml"/>
    <w:link w:val="BuborkszvegChar"/>
    <w:uiPriority w:val="99"/>
    <w:semiHidden/>
    <w:rsid w:val="00F545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45E0"/>
    <w:rPr>
      <w:rFonts w:ascii="Tahoma" w:hAnsi="Tahoma" w:cs="Times New Roman"/>
      <w:sz w:val="16"/>
    </w:rPr>
  </w:style>
  <w:style w:type="character" w:styleId="Lbjegyzet-hivatkozs">
    <w:name w:val="footnote reference"/>
    <w:basedOn w:val="Bekezdsalapbettpusa"/>
    <w:uiPriority w:val="99"/>
    <w:rsid w:val="006964DA"/>
    <w:rPr>
      <w:rFonts w:cs="Times New Roman"/>
      <w:vertAlign w:val="superscript"/>
    </w:rPr>
  </w:style>
  <w:style w:type="character" w:styleId="Mrltotthiperhivatkozs">
    <w:name w:val="FollowedHyperlink"/>
    <w:basedOn w:val="Bekezdsalapbettpusa"/>
    <w:uiPriority w:val="99"/>
    <w:semiHidden/>
    <w:rsid w:val="00F1025F"/>
    <w:rPr>
      <w:rFonts w:cs="Times New Roman"/>
      <w:color w:val="800080"/>
      <w:u w:val="single"/>
    </w:rPr>
  </w:style>
  <w:style w:type="character" w:styleId="Kiemels">
    <w:name w:val="Emphasis"/>
    <w:basedOn w:val="Bekezdsalapbettpusa"/>
    <w:uiPriority w:val="20"/>
    <w:qFormat/>
    <w:rsid w:val="006269F9"/>
    <w:rPr>
      <w:i/>
      <w:iCs/>
    </w:rPr>
  </w:style>
  <w:style w:type="paragraph" w:styleId="Vltozat">
    <w:name w:val="Revision"/>
    <w:hidden/>
    <w:uiPriority w:val="99"/>
    <w:semiHidden/>
    <w:rsid w:val="005E5F40"/>
    <w:rPr>
      <w:rFonts w:ascii="Segoe UI" w:hAnsi="Segoe UI" w:cs="Times New Roman"/>
    </w:rPr>
  </w:style>
  <w:style w:type="paragraph" w:customStyle="1" w:styleId="fcm">
    <w:name w:val="+ főcím"/>
    <w:basedOn w:val="Norml"/>
    <w:qFormat/>
    <w:rsid w:val="009F3E03"/>
    <w:pPr>
      <w:spacing w:before="240" w:after="3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fszveg">
    <w:name w:val="+ főszöveg"/>
    <w:basedOn w:val="fcm"/>
    <w:qFormat/>
    <w:rsid w:val="007D0FD5"/>
    <w:pPr>
      <w:spacing w:before="0" w:after="0" w:line="360" w:lineRule="auto"/>
      <w:ind w:firstLine="709"/>
      <w:jc w:val="both"/>
    </w:pPr>
    <w:rPr>
      <w:b w:val="0"/>
      <w:sz w:val="20"/>
    </w:rPr>
  </w:style>
  <w:style w:type="paragraph" w:customStyle="1" w:styleId="belscm1">
    <w:name w:val="+ belső cím 1"/>
    <w:basedOn w:val="fszveg"/>
    <w:qFormat/>
    <w:rsid w:val="00AF2616"/>
    <w:pPr>
      <w:keepNext/>
      <w:spacing w:before="240" w:after="240"/>
      <w:ind w:firstLine="0"/>
    </w:pPr>
    <w:rPr>
      <w:b/>
      <w:sz w:val="24"/>
    </w:rPr>
  </w:style>
  <w:style w:type="paragraph" w:customStyle="1" w:styleId="belscm2">
    <w:name w:val="+ belső cím 2"/>
    <w:basedOn w:val="belscm1"/>
    <w:qFormat/>
    <w:rsid w:val="008A4FA9"/>
    <w:pPr>
      <w:numPr>
        <w:numId w:val="21"/>
      </w:numPr>
      <w:spacing w:before="120" w:after="120"/>
    </w:pPr>
  </w:style>
  <w:style w:type="paragraph" w:customStyle="1" w:styleId="belscm3">
    <w:name w:val="+ belső cím 3"/>
    <w:basedOn w:val="belscm2"/>
    <w:qFormat/>
    <w:rsid w:val="008A4FA9"/>
    <w:pPr>
      <w:numPr>
        <w:numId w:val="0"/>
      </w:numPr>
    </w:pPr>
    <w:rPr>
      <w:b w:val="0"/>
      <w:i/>
    </w:rPr>
  </w:style>
  <w:style w:type="paragraph" w:customStyle="1" w:styleId="belstartalomjegyzk1">
    <w:name w:val="+ belső tartalomjegyzék 1"/>
    <w:basedOn w:val="belscm3"/>
    <w:qFormat/>
    <w:rsid w:val="00A716A2"/>
    <w:pPr>
      <w:keepNext w:val="0"/>
      <w:spacing w:before="0" w:after="0" w:line="240" w:lineRule="auto"/>
      <w:ind w:left="709" w:hanging="709"/>
    </w:pPr>
    <w:rPr>
      <w:i w:val="0"/>
      <w:sz w:val="20"/>
    </w:rPr>
  </w:style>
  <w:style w:type="paragraph" w:customStyle="1" w:styleId="belstartalomjegyzk2">
    <w:name w:val="+ belső tartalomjegyzék 2"/>
    <w:basedOn w:val="belstartalomjegyzk1"/>
    <w:qFormat/>
    <w:rsid w:val="009F3E03"/>
    <w:pPr>
      <w:ind w:left="1163"/>
    </w:pPr>
  </w:style>
  <w:style w:type="paragraph" w:customStyle="1" w:styleId="belstartalomjegyzk3">
    <w:name w:val="+ belső tartalomjegyzék 3"/>
    <w:basedOn w:val="belstartalomjegyzk2"/>
    <w:qFormat/>
    <w:rsid w:val="009F3E03"/>
    <w:pPr>
      <w:ind w:left="1389"/>
    </w:pPr>
  </w:style>
  <w:style w:type="paragraph" w:customStyle="1" w:styleId="bevezetelemek">
    <w:name w:val="+ bevezető elemek"/>
    <w:basedOn w:val="Norml"/>
    <w:qFormat/>
    <w:rsid w:val="009F3E03"/>
    <w:pPr>
      <w:spacing w:before="120" w:after="120" w:line="360" w:lineRule="auto"/>
      <w:ind w:left="567"/>
    </w:pPr>
    <w:rPr>
      <w:rFonts w:ascii="Times New Roman" w:hAnsi="Times New Roman"/>
      <w:sz w:val="20"/>
      <w:lang w:eastAsia="en-US"/>
    </w:rPr>
  </w:style>
  <w:style w:type="paragraph" w:customStyle="1" w:styleId="belscm4">
    <w:name w:val="+ belső cím 4"/>
    <w:basedOn w:val="belscm3"/>
    <w:qFormat/>
    <w:rsid w:val="009F3E03"/>
    <w:rPr>
      <w:i w:val="0"/>
    </w:rPr>
  </w:style>
  <w:style w:type="paragraph" w:customStyle="1" w:styleId="elzeteshivatkozsok">
    <w:name w:val="+ előzetes hivatkozások"/>
    <w:basedOn w:val="belstartalomjegyzk3"/>
    <w:qFormat/>
    <w:rsid w:val="009F3E03"/>
    <w:pPr>
      <w:ind w:left="709"/>
    </w:pPr>
  </w:style>
  <w:style w:type="paragraph" w:customStyle="1" w:styleId="alrs">
    <w:name w:val="+ aláírás"/>
    <w:basedOn w:val="elzeteshivatkozsok"/>
    <w:qFormat/>
    <w:rsid w:val="009F3E03"/>
    <w:pPr>
      <w:spacing w:before="240"/>
      <w:ind w:left="0" w:firstLine="0"/>
      <w:jc w:val="right"/>
    </w:pPr>
  </w:style>
  <w:style w:type="paragraph" w:customStyle="1" w:styleId="idzetegybekezds">
    <w:name w:val="+ idézet egy bekezdés"/>
    <w:basedOn w:val="belstartalomjegyzk2"/>
    <w:qFormat/>
    <w:rsid w:val="009F3E03"/>
    <w:pPr>
      <w:spacing w:before="120" w:after="120"/>
      <w:ind w:left="567" w:firstLine="0"/>
    </w:pPr>
  </w:style>
  <w:style w:type="paragraph" w:customStyle="1" w:styleId="belstartalomjegyzk4">
    <w:name w:val="+ belső tartalomjegyzék 4"/>
    <w:basedOn w:val="belstartalomjegyzk3"/>
    <w:qFormat/>
    <w:rsid w:val="009F3E03"/>
    <w:pPr>
      <w:ind w:left="1616"/>
    </w:pPr>
  </w:style>
  <w:style w:type="paragraph" w:customStyle="1" w:styleId="idzetfolytats">
    <w:name w:val="+ idézet folytatás"/>
    <w:basedOn w:val="idzetegybekezds"/>
    <w:qFormat/>
    <w:rsid w:val="009F3E03"/>
    <w:pPr>
      <w:spacing w:before="0" w:after="0"/>
      <w:ind w:firstLine="709"/>
    </w:pPr>
  </w:style>
  <w:style w:type="paragraph" w:customStyle="1" w:styleId="idzetbefejezs">
    <w:name w:val="+ idézet befejezés"/>
    <w:basedOn w:val="idzetfolytats"/>
    <w:qFormat/>
    <w:rsid w:val="009F3E03"/>
    <w:pPr>
      <w:spacing w:after="120"/>
    </w:pPr>
  </w:style>
  <w:style w:type="paragraph" w:customStyle="1" w:styleId="idzetkezdet">
    <w:name w:val="+ idézet kezdet"/>
    <w:basedOn w:val="idzetfolytats"/>
    <w:qFormat/>
    <w:rsid w:val="009F3E03"/>
    <w:pPr>
      <w:ind w:firstLine="0"/>
    </w:pPr>
  </w:style>
  <w:style w:type="paragraph" w:styleId="Vgjegyzetszvege">
    <w:name w:val="endnote text"/>
    <w:basedOn w:val="Norml"/>
    <w:link w:val="VgjegyzetszvegeChar"/>
    <w:uiPriority w:val="99"/>
    <w:unhideWhenUsed/>
    <w:rsid w:val="00483543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483543"/>
    <w:rPr>
      <w:rFonts w:ascii="Times" w:hAnsi="Times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2160F"/>
    <w:rPr>
      <w:vertAlign w:val="superscript"/>
    </w:rPr>
  </w:style>
  <w:style w:type="paragraph" w:customStyle="1" w:styleId="absztrakt">
    <w:name w:val="+absztrakt"/>
    <w:basedOn w:val="Norml"/>
    <w:qFormat/>
    <w:rsid w:val="00053687"/>
    <w:pPr>
      <w:spacing w:after="0" w:line="240" w:lineRule="auto"/>
    </w:pPr>
    <w:rPr>
      <w:rFonts w:ascii="Times New Roman" w:hAnsi="Times New Roman" w:cs="Times New Roman"/>
      <w:sz w:val="20"/>
      <w:szCs w:val="24"/>
      <w:lang w:eastAsia="en-US"/>
    </w:rPr>
  </w:style>
  <w:style w:type="character" w:customStyle="1" w:styleId="JegyzetszvegChar1">
    <w:name w:val="Jegyzetszöveg Char1"/>
    <w:uiPriority w:val="99"/>
    <w:rsid w:val="00F0231E"/>
    <w:rPr>
      <w:rFonts w:ascii="Times New Roman" w:hAnsi="Times New Roman" w:cs="Times New Roman"/>
      <w:sz w:val="20"/>
      <w:szCs w:val="20"/>
      <w:lang w:eastAsia="zh-CN"/>
    </w:rPr>
  </w:style>
  <w:style w:type="paragraph" w:styleId="Szvegtrzs">
    <w:name w:val="Body Text"/>
    <w:basedOn w:val="Norml"/>
    <w:next w:val="Norml"/>
    <w:link w:val="SzvegtrzsChar"/>
    <w:rsid w:val="00F0231E"/>
    <w:pPr>
      <w:widowControl w:val="0"/>
      <w:suppressAutoHyphens/>
      <w:overflowPunct w:val="0"/>
      <w:autoSpaceDE w:val="0"/>
      <w:spacing w:after="0" w:line="220" w:lineRule="atLeast"/>
      <w:ind w:firstLine="300"/>
      <w:jc w:val="both"/>
      <w:textAlignment w:val="baseline"/>
    </w:pPr>
    <w:rPr>
      <w:rFonts w:ascii="HPalatino" w:eastAsia="Times New Roman" w:hAnsi="HPalatino" w:cs="HPalatino"/>
      <w:sz w:val="20"/>
      <w:szCs w:val="20"/>
      <w:lang w:val="x-none" w:eastAsia="zh-CN"/>
    </w:rPr>
  </w:style>
  <w:style w:type="character" w:customStyle="1" w:styleId="SzvegtrzsChar">
    <w:name w:val="Szövegtörzs Char"/>
    <w:basedOn w:val="Bekezdsalapbettpusa"/>
    <w:link w:val="Szvegtrzs"/>
    <w:rsid w:val="00F0231E"/>
    <w:rPr>
      <w:rFonts w:ascii="HPalatino" w:eastAsia="Times New Roman" w:hAnsi="HPalatino" w:cs="HPalatino"/>
      <w:sz w:val="20"/>
      <w:szCs w:val="20"/>
      <w:lang w:val="x-none" w:eastAsia="zh-CN"/>
    </w:rPr>
  </w:style>
  <w:style w:type="paragraph" w:styleId="Nincstrkz">
    <w:name w:val="No Spacing"/>
    <w:basedOn w:val="Norml"/>
    <w:uiPriority w:val="1"/>
    <w:qFormat/>
    <w:rsid w:val="00F0231E"/>
    <w:pPr>
      <w:jc w:val="both"/>
    </w:pPr>
    <w:rPr>
      <w:rFonts w:ascii="Times New Roman" w:hAnsi="Times New Roman"/>
      <w:sz w:val="20"/>
    </w:rPr>
  </w:style>
  <w:style w:type="paragraph" w:customStyle="1" w:styleId="pcim">
    <w:name w:val="pcim"/>
    <w:basedOn w:val="Norml"/>
    <w:rsid w:val="00093EF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15"/>
      <w:szCs w:val="15"/>
      <w:lang w:val="de-DE"/>
    </w:rPr>
  </w:style>
  <w:style w:type="paragraph" w:customStyle="1" w:styleId="lbjegyzet">
    <w:name w:val="lábjegyzet"/>
    <w:basedOn w:val="Lbjegyzetszveg"/>
    <w:link w:val="lbjegyzetChar"/>
    <w:qFormat/>
    <w:rsid w:val="00CD0BD9"/>
    <w:pPr>
      <w:jc w:val="both"/>
    </w:pPr>
    <w:rPr>
      <w:rFonts w:cstheme="minorBidi"/>
      <w:szCs w:val="20"/>
    </w:rPr>
  </w:style>
  <w:style w:type="character" w:customStyle="1" w:styleId="lbjegyzetChar">
    <w:name w:val="lábjegyzet Char"/>
    <w:basedOn w:val="LbjegyzetszvegChar"/>
    <w:link w:val="lbjegyzet"/>
    <w:rsid w:val="00CD0BD9"/>
    <w:rPr>
      <w:rFonts w:ascii="Times New Roman" w:hAnsi="Times New Roman" w:cstheme="minorBidi"/>
      <w:sz w:val="20"/>
      <w:szCs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6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.jogtar.hu" TargetMode="External"/><Relationship Id="rId3" Type="http://schemas.openxmlformats.org/officeDocument/2006/relationships/hyperlink" Target="https://nkerepo.uni-nke.hu/xmlui/bitstream/handle/123456789/14554/Patyi_Andras_Magyar_kozig_biraskodas_elm_es_tort_2019.pdf?sequence=1" TargetMode="External"/><Relationship Id="rId7" Type="http://schemas.openxmlformats.org/officeDocument/2006/relationships/hyperlink" Target="https://dopus.uni-speyer.de/frontdoor/deliver/index/docId/479/file/FB-240.pdf" TargetMode="External"/><Relationship Id="rId2" Type="http://schemas.openxmlformats.org/officeDocument/2006/relationships/hyperlink" Target="https://pea.lib.pte.hu/handle/pea/17611" TargetMode="External"/><Relationship Id="rId1" Type="http://schemas.openxmlformats.org/officeDocument/2006/relationships/hyperlink" Target="https://pea.lib.pte.hu/handle/pea/17611" TargetMode="External"/><Relationship Id="rId6" Type="http://schemas.openxmlformats.org/officeDocument/2006/relationships/hyperlink" Target="http://www.uj.jogtar.hu" TargetMode="External"/><Relationship Id="rId5" Type="http://schemas.openxmlformats.org/officeDocument/2006/relationships/hyperlink" Target="https://www.kuria-birosag.hu/sites/default/files/joggyak/a_kozigazgatasi_perjog_joggyakorlat-elemzo_csoport_osszefoglalo_velemenye.pdf" TargetMode="External"/><Relationship Id="rId10" Type="http://schemas.openxmlformats.org/officeDocument/2006/relationships/hyperlink" Target="https://nkerepo.uni-nke.hu/xmlui/bitstream/handle/123456789/16582/web_PDF_TA80_v2-iiniat.pdf;jsessionid=93ABB15672168620B41C2792FA6E8945?sequence=1" TargetMode="External"/><Relationship Id="rId4" Type="http://schemas.openxmlformats.org/officeDocument/2006/relationships/hyperlink" Target="http://jog.tk.mta.hu/uploads/files/mtalwp/2014_59_Kupper.pdf" TargetMode="External"/><Relationship Id="rId9" Type="http://schemas.openxmlformats.org/officeDocument/2006/relationships/hyperlink" Target="http://www.uj.jogtar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zter\Downloads\Kezikony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37C38799F37F4385C35487F6F5C280" ma:contentTypeVersion="12" ma:contentTypeDescription="Új dokumentum létrehozása." ma:contentTypeScope="" ma:versionID="c702dd282f54b22c24a29ce522d08dd7">
  <xsd:schema xmlns:xsd="http://www.w3.org/2001/XMLSchema" xmlns:xs="http://www.w3.org/2001/XMLSchema" xmlns:p="http://schemas.microsoft.com/office/2006/metadata/properties" xmlns:ns3="3d6cab24-ed72-49d6-8881-32fb61e7ad66" xmlns:ns4="3064c141-4503-4d16-8df1-e3a5c19e68d7" targetNamespace="http://schemas.microsoft.com/office/2006/metadata/properties" ma:root="true" ma:fieldsID="348f05b9adaf8a0c55876c3dd980a1d1" ns3:_="" ns4:_="">
    <xsd:import namespace="3d6cab24-ed72-49d6-8881-32fb61e7ad66"/>
    <xsd:import namespace="3064c141-4503-4d16-8df1-e3a5c19e6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ab24-ed72-49d6-8881-32fb61e7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c141-4503-4d16-8df1-e3a5c19e6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9C41-7C7F-4A33-92A1-745F59C01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cab24-ed72-49d6-8881-32fb61e7ad66"/>
    <ds:schemaRef ds:uri="3064c141-4503-4d16-8df1-e3a5c19e6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19606-0E3B-4F60-8EC4-E9CBCE168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6879B-C115-45EF-943E-1EE242865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CBA70-71F7-413D-A0FB-06AC3F2C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Kezikonyv</Template>
  <TotalTime>1</TotalTime>
  <Pages>5</Pages>
  <Words>5666</Words>
  <Characters>39102</Characters>
  <Application>Microsoft Office Word</Application>
  <DocSecurity>0</DocSecurity>
  <Lines>325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Bodnár Eszter (eszter</vt:lpstr>
    </vt:vector>
  </TitlesOfParts>
  <Company>ELTE</Company>
  <LinksUpToDate>false</LinksUpToDate>
  <CharactersWithSpaces>44679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Bodnár Eszter (eszter</dc:title>
  <dc:creator>"Rozsnyai Krisztina" &lt;rozsnyaik@ajk.elte.hu&gt;</dc:creator>
  <cp:lastModifiedBy>Dr. Balázs István</cp:lastModifiedBy>
  <cp:revision>2</cp:revision>
  <dcterms:created xsi:type="dcterms:W3CDTF">2022-09-02T09:41:00Z</dcterms:created>
  <dcterms:modified xsi:type="dcterms:W3CDTF">2022-09-02T09:41:00Z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0x0101004D37C38799F37F4385C35487F6F5C280</vt:lpwstr>
  </property>
</Properties>
</file>